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_GBK" w:hAnsi="Times New Roman" w:eastAsia="方正小标宋_GBK" w:cs="黑体"/>
          <w:b w:val="0"/>
          <w:bCs w:val="0"/>
          <w:color w:val="auto"/>
          <w:sz w:val="52"/>
          <w:szCs w:val="52"/>
          <w:highlight w:val="none"/>
          <w:u w:val="none"/>
          <w:lang w:eastAsia="zh-CN"/>
        </w:rPr>
      </w:pPr>
      <w:bookmarkStart w:id="151" w:name="_GoBack"/>
      <w:bookmarkEnd w:id="151"/>
      <w:r>
        <w:rPr>
          <w:rFonts w:hint="eastAsia" w:ascii="方正小标宋_GBK" w:hAnsi="Times New Roman" w:eastAsia="方正小标宋_GBK" w:cs="黑体"/>
          <w:b w:val="0"/>
          <w:bCs w:val="0"/>
          <w:color w:val="auto"/>
          <w:sz w:val="52"/>
          <w:szCs w:val="52"/>
          <w:highlight w:val="none"/>
          <w:u w:val="none"/>
          <w:lang w:eastAsia="zh-CN"/>
        </w:rPr>
        <w:t>广西壮族自治区农村信用社联合社</w:t>
      </w:r>
    </w:p>
    <w:p>
      <w:pPr>
        <w:spacing w:line="360" w:lineRule="auto"/>
        <w:jc w:val="center"/>
        <w:rPr>
          <w:rFonts w:hint="eastAsia"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val="0"/>
          <w:bCs/>
          <w:color w:val="auto"/>
          <w:sz w:val="52"/>
          <w:szCs w:val="52"/>
          <w:highlight w:val="none"/>
          <w:lang w:eastAsia="zh-CN"/>
        </w:rPr>
        <w:t>采购</w:t>
      </w:r>
      <w:r>
        <w:rPr>
          <w:rFonts w:hint="eastAsia" w:ascii="方正小标宋_GBK" w:eastAsia="方正小标宋_GBK" w:cs="黑体"/>
          <w:color w:val="auto"/>
          <w:sz w:val="52"/>
          <w:szCs w:val="52"/>
          <w:highlight w:val="none"/>
          <w:lang w:val="en-US" w:eastAsia="zh-CN"/>
        </w:rPr>
        <w:t>网络学习平台培训服务</w:t>
      </w:r>
      <w:r>
        <w:rPr>
          <w:rFonts w:hint="eastAsia" w:ascii="方正小标宋简体" w:hAnsi="方正小标宋简体" w:eastAsia="方正小标宋简体" w:cs="方正小标宋简体"/>
          <w:b w:val="0"/>
          <w:bCs/>
          <w:color w:val="auto"/>
          <w:sz w:val="52"/>
          <w:szCs w:val="52"/>
          <w:highlight w:val="none"/>
          <w:lang w:val="en-US" w:eastAsia="zh-CN"/>
        </w:rPr>
        <w:t>项目</w:t>
      </w:r>
    </w:p>
    <w:p>
      <w:pPr>
        <w:snapToGrid w:val="0"/>
        <w:spacing w:before="156" w:beforeLines="50" w:line="360" w:lineRule="auto"/>
        <w:jc w:val="center"/>
        <w:rPr>
          <w:rFonts w:hint="eastAsia" w:ascii="华文新魏" w:hAnsi="宋体" w:eastAsia="华文新魏"/>
          <w:color w:val="auto"/>
          <w:sz w:val="120"/>
          <w:szCs w:val="120"/>
          <w:highlight w:val="none"/>
        </w:rPr>
      </w:pPr>
    </w:p>
    <w:p>
      <w:pPr>
        <w:snapToGrid w:val="0"/>
        <w:spacing w:before="156" w:beforeLines="50" w:line="360" w:lineRule="auto"/>
        <w:jc w:val="center"/>
        <w:rPr>
          <w:rFonts w:hint="eastAsia"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竞争性磋商文件</w:t>
      </w:r>
    </w:p>
    <w:p>
      <w:pPr>
        <w:snapToGrid w:val="0"/>
        <w:spacing w:line="360" w:lineRule="auto"/>
        <w:rPr>
          <w:rFonts w:hint="eastAsia" w:ascii="仿宋_GB2312" w:hAnsi="宋体" w:eastAsia="仿宋_GB2312"/>
          <w:b/>
          <w:color w:val="auto"/>
          <w:sz w:val="48"/>
          <w:szCs w:val="48"/>
          <w:highlight w:val="none"/>
        </w:rPr>
      </w:pPr>
    </w:p>
    <w:p>
      <w:pPr>
        <w:snapToGrid w:val="0"/>
        <w:spacing w:line="360" w:lineRule="auto"/>
        <w:rPr>
          <w:rFonts w:hint="eastAsia" w:ascii="仿宋_GB2312" w:hAnsi="宋体" w:eastAsia="仿宋_GB2312"/>
          <w:color w:val="auto"/>
          <w:sz w:val="30"/>
          <w:szCs w:val="72"/>
          <w:highlight w:val="none"/>
        </w:rPr>
      </w:pPr>
    </w:p>
    <w:p>
      <w:pPr>
        <w:pStyle w:val="2"/>
        <w:rPr>
          <w:rFonts w:hint="eastAsia"/>
        </w:rPr>
      </w:pPr>
    </w:p>
    <w:p>
      <w:pPr>
        <w:pStyle w:val="16"/>
        <w:snapToGrid w:val="0"/>
        <w:spacing w:line="360" w:lineRule="auto"/>
        <w:ind w:firstLine="1193" w:firstLineChars="396"/>
        <w:rPr>
          <w:rFonts w:hint="eastAsia"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：采购网络学习平台培训服务</w:t>
      </w:r>
    </w:p>
    <w:p>
      <w:pPr>
        <w:snapToGrid w:val="0"/>
        <w:spacing w:line="360" w:lineRule="auto"/>
        <w:ind w:firstLine="1145" w:firstLineChars="400"/>
        <w:rPr>
          <w:rFonts w:hint="eastAsia" w:ascii="仿宋_GB2312" w:hAnsi="宋体" w:eastAsia="仿宋_GB2312"/>
          <w:color w:val="auto"/>
          <w:sz w:val="30"/>
          <w:szCs w:val="72"/>
          <w:highlight w:val="none"/>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b/>
          <w:bCs/>
          <w:color w:val="auto"/>
          <w:sz w:val="30"/>
          <w:szCs w:val="30"/>
          <w:highlight w:val="none"/>
          <w:lang w:eastAsia="zh-CN"/>
        </w:rPr>
        <w:t>（如有）</w:t>
      </w:r>
      <w:r>
        <w:rPr>
          <w:rFonts w:hint="eastAsia" w:ascii="仿宋_GB2312" w:hAnsi="宋体" w:eastAsia="仿宋_GB2312" w:cs="Courier New"/>
          <w:b/>
          <w:bCs/>
          <w:color w:val="auto"/>
          <w:w w:val="95"/>
          <w:sz w:val="30"/>
          <w:szCs w:val="30"/>
          <w:highlight w:val="none"/>
        </w:rPr>
        <w:t>：</w:t>
      </w:r>
      <w:r>
        <w:rPr>
          <w:rFonts w:hint="eastAsia" w:ascii="仿宋_GB2312" w:hAnsi="宋体" w:eastAsia="仿宋_GB2312"/>
          <w:b/>
          <w:color w:val="auto"/>
          <w:sz w:val="30"/>
          <w:szCs w:val="48"/>
          <w:highlight w:val="none"/>
        </w:rPr>
        <w:t xml:space="preserve"> </w:t>
      </w:r>
    </w:p>
    <w:p>
      <w:pPr>
        <w:pStyle w:val="16"/>
        <w:snapToGrid w:val="0"/>
        <w:spacing w:line="360" w:lineRule="auto"/>
        <w:ind w:firstLine="1125" w:firstLineChars="393"/>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 购 人：</w:t>
      </w:r>
      <w:r>
        <w:rPr>
          <w:rFonts w:hint="eastAsia" w:ascii="仿宋_GB2312" w:hAnsi="宋体" w:eastAsia="仿宋_GB2312"/>
          <w:b/>
          <w:bCs/>
          <w:color w:val="auto"/>
          <w:sz w:val="30"/>
          <w:szCs w:val="30"/>
          <w:highlight w:val="none"/>
        </w:rPr>
        <w:t>广西壮族自治区农村信用社联合社</w:t>
      </w:r>
    </w:p>
    <w:p>
      <w:pPr>
        <w:pStyle w:val="16"/>
        <w:keepNext w:val="0"/>
        <w:keepLines w:val="0"/>
        <w:pageBreakBefore w:val="0"/>
        <w:widowControl w:val="0"/>
        <w:kinsoku/>
        <w:wordWrap/>
        <w:overflowPunct/>
        <w:topLinePunct w:val="0"/>
        <w:autoSpaceDE/>
        <w:autoSpaceDN/>
        <w:bidi w:val="0"/>
        <w:adjustRightInd/>
        <w:snapToGrid w:val="0"/>
        <w:spacing w:line="360" w:lineRule="auto"/>
        <w:ind w:left="0" w:firstLine="0" w:firstLineChars="0"/>
        <w:textAlignment w:val="auto"/>
        <w:rPr>
          <w:rFonts w:hint="eastAsia" w:ascii="仿宋_GB2312" w:hAnsi="宋体" w:eastAsia="仿宋_GB2312"/>
          <w:b/>
          <w:bCs/>
          <w:color w:val="auto"/>
          <w:w w:val="95"/>
          <w:sz w:val="30"/>
          <w:szCs w:val="30"/>
          <w:highlight w:val="none"/>
        </w:rPr>
      </w:pPr>
    </w:p>
    <w:p>
      <w:pPr>
        <w:pStyle w:val="16"/>
        <w:keepNext w:val="0"/>
        <w:keepLines w:val="0"/>
        <w:pageBreakBefore w:val="0"/>
        <w:widowControl w:val="0"/>
        <w:kinsoku/>
        <w:wordWrap/>
        <w:overflowPunct/>
        <w:topLinePunct w:val="0"/>
        <w:autoSpaceDE/>
        <w:autoSpaceDN/>
        <w:bidi w:val="0"/>
        <w:adjustRightInd/>
        <w:snapToGrid w:val="0"/>
        <w:spacing w:line="360" w:lineRule="auto"/>
        <w:ind w:left="0" w:firstLine="0" w:firstLineChars="0"/>
        <w:textAlignment w:val="auto"/>
        <w:rPr>
          <w:rFonts w:hint="eastAsia" w:ascii="仿宋_GB2312" w:hAnsi="宋体" w:eastAsia="仿宋_GB2312"/>
          <w:b/>
          <w:bCs/>
          <w:color w:val="auto"/>
          <w:w w:val="95"/>
          <w:sz w:val="30"/>
          <w:szCs w:val="30"/>
          <w:highlight w:val="none"/>
        </w:rPr>
      </w:pPr>
    </w:p>
    <w:p>
      <w:pPr>
        <w:pStyle w:val="16"/>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center"/>
        <w:textAlignment w:val="auto"/>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lang w:val="en-US" w:eastAsia="zh-CN"/>
        </w:rPr>
        <w:t>2023</w:t>
      </w:r>
      <w:r>
        <w:rPr>
          <w:rFonts w:hint="eastAsia" w:ascii="仿宋_GB2312" w:hAnsi="宋体" w:eastAsia="仿宋_GB2312"/>
          <w:b/>
          <w:bCs/>
          <w:color w:val="auto"/>
          <w:w w:val="95"/>
          <w:sz w:val="30"/>
          <w:szCs w:val="30"/>
          <w:highlight w:val="none"/>
        </w:rPr>
        <w:t>年</w:t>
      </w:r>
      <w:r>
        <w:rPr>
          <w:rFonts w:hint="eastAsia" w:ascii="仿宋_GB2312" w:hAnsi="宋体" w:eastAsia="仿宋_GB2312"/>
          <w:b/>
          <w:bCs/>
          <w:color w:val="auto"/>
          <w:w w:val="95"/>
          <w:sz w:val="30"/>
          <w:szCs w:val="30"/>
          <w:highlight w:val="none"/>
          <w:lang w:val="en-US" w:eastAsia="zh-CN"/>
        </w:rPr>
        <w:t>5</w:t>
      </w:r>
      <w:r>
        <w:rPr>
          <w:rFonts w:hint="eastAsia" w:ascii="仿宋_GB2312" w:hAnsi="宋体" w:eastAsia="仿宋_GB2312"/>
          <w:b/>
          <w:bCs/>
          <w:color w:val="auto"/>
          <w:w w:val="95"/>
          <w:sz w:val="30"/>
          <w:szCs w:val="30"/>
          <w:highlight w:val="none"/>
        </w:rPr>
        <w:t>月</w:t>
      </w:r>
      <w:r>
        <w:rPr>
          <w:rFonts w:hint="eastAsia" w:ascii="仿宋_GB2312" w:hAnsi="宋体" w:eastAsia="仿宋_GB2312"/>
          <w:b/>
          <w:bCs/>
          <w:color w:val="auto"/>
          <w:w w:val="95"/>
          <w:sz w:val="30"/>
          <w:szCs w:val="30"/>
          <w:highlight w:val="none"/>
          <w:lang w:val="en-US" w:eastAsia="zh-CN"/>
        </w:rPr>
        <w:t>29日</w:t>
      </w:r>
    </w:p>
    <w:p>
      <w:pPr>
        <w:keepNext w:val="0"/>
        <w:keepLines w:val="0"/>
        <w:pageBreakBefore w:val="0"/>
        <w:widowControl w:val="0"/>
        <w:kinsoku/>
        <w:wordWrap/>
        <w:overflowPunct/>
        <w:topLinePunct w:val="0"/>
        <w:autoSpaceDE/>
        <w:autoSpaceDN/>
        <w:bidi w:val="0"/>
        <w:adjustRightInd/>
        <w:spacing w:line="360" w:lineRule="auto"/>
        <w:ind w:left="0" w:firstLine="0" w:firstLineChars="0"/>
        <w:jc w:val="center"/>
        <w:textAlignment w:val="auto"/>
        <w:rPr>
          <w:rFonts w:hint="eastAsia" w:ascii="黑体" w:hAnsi="黑体" w:eastAsia="黑体" w:cs="宋体"/>
          <w:b/>
          <w:bCs/>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pacing w:line="360" w:lineRule="auto"/>
        <w:ind w:left="0" w:firstLine="0" w:firstLineChars="0"/>
        <w:jc w:val="center"/>
        <w:textAlignment w:val="auto"/>
        <w:rPr>
          <w:rFonts w:hint="eastAsia" w:ascii="黑体" w:hAnsi="黑体" w:eastAsia="黑体" w:cs="宋体"/>
          <w:b/>
          <w:bCs/>
          <w:i/>
          <w:iCs/>
          <w:color w:val="auto"/>
          <w:kern w:val="0"/>
          <w:sz w:val="32"/>
          <w:szCs w:val="32"/>
          <w:highlight w:val="none"/>
        </w:rPr>
      </w:pPr>
    </w:p>
    <w:p>
      <w:pPr>
        <w:pStyle w:val="16"/>
        <w:spacing w:before="0" w:beforeLines="0" w:after="0" w:afterLines="0" w:line="360" w:lineRule="auto"/>
        <w:ind w:left="420" w:firstLine="1234" w:firstLineChars="294"/>
        <w:rPr>
          <w:rFonts w:hint="eastAsia" w:ascii="仿宋_GB2312" w:hAnsi="宋体" w:eastAsia="仿宋_GB2312"/>
          <w:b/>
          <w:bCs/>
          <w:color w:val="auto"/>
          <w:w w:val="95"/>
          <w:sz w:val="44"/>
          <w:szCs w:val="44"/>
          <w:highlight w:val="none"/>
          <w:lang w:val="en-US" w:eastAsia="zh-CN"/>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bookmarkStart w:id="0" w:name="_Hlk71192000"/>
    </w:p>
    <w:p>
      <w:pPr>
        <w:rPr>
          <w:rFonts w:hint="default" w:ascii="Times New Roman" w:hAnsi="Times New Roman"/>
          <w:b w:val="0"/>
          <w:color w:val="auto"/>
          <w:sz w:val="52"/>
          <w:szCs w:val="72"/>
          <w:highlight w:val="none"/>
        </w:rPr>
      </w:pPr>
    </w:p>
    <w:p>
      <w:pPr>
        <w:spacing w:before="0" w:beforeLines="0" w:after="0" w:afterLines="0" w:line="240" w:lineRule="auto"/>
        <w:ind w:left="0" w:leftChars="0" w:right="0" w:rightChars="0" w:firstLine="0" w:firstLineChars="0"/>
        <w:jc w:val="center"/>
        <w:rPr>
          <w:rFonts w:ascii="宋体" w:hAnsi="宋体" w:eastAsia="宋体"/>
          <w:color w:val="auto"/>
          <w:kern w:val="0"/>
          <w:sz w:val="44"/>
          <w:szCs w:val="44"/>
          <w:highlight w:val="none"/>
        </w:rPr>
      </w:pPr>
      <w:bookmarkStart w:id="1" w:name="_Toc1370_WPSOffice_Type1"/>
      <w:r>
        <w:rPr>
          <w:rFonts w:ascii="宋体" w:hAnsi="宋体" w:eastAsia="宋体"/>
          <w:color w:val="auto"/>
          <w:kern w:val="0"/>
          <w:sz w:val="44"/>
          <w:szCs w:val="44"/>
          <w:highlight w:val="none"/>
        </w:rPr>
        <w:t>目</w:t>
      </w:r>
      <w:r>
        <w:rPr>
          <w:rFonts w:hint="eastAsia" w:ascii="宋体" w:hAnsi="宋体"/>
          <w:color w:val="auto"/>
          <w:kern w:val="0"/>
          <w:sz w:val="44"/>
          <w:szCs w:val="44"/>
          <w:highlight w:val="none"/>
          <w:lang w:val="en-US" w:eastAsia="zh-CN"/>
        </w:rPr>
        <w:t xml:space="preserve">  </w:t>
      </w:r>
      <w:r>
        <w:rPr>
          <w:rFonts w:ascii="宋体" w:hAnsi="宋体" w:eastAsia="宋体"/>
          <w:color w:val="auto"/>
          <w:kern w:val="0"/>
          <w:sz w:val="44"/>
          <w:szCs w:val="44"/>
          <w:highlight w:val="none"/>
        </w:rPr>
        <w:t>录</w:t>
      </w:r>
    </w:p>
    <w:p>
      <w:pPr>
        <w:pStyle w:val="2"/>
      </w:pPr>
    </w:p>
    <w:p>
      <w:pPr>
        <w:pStyle w:val="32"/>
        <w:tabs>
          <w:tab w:val="right" w:leader="dot" w:pos="8879"/>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_Toc32300_WPSOffice_Level1 </w:instrText>
      </w:r>
      <w:r>
        <w:rPr>
          <w:color w:val="auto"/>
          <w:sz w:val="28"/>
          <w:szCs w:val="28"/>
          <w:highlight w:val="none"/>
        </w:rPr>
        <w:fldChar w:fldCharType="separate"/>
      </w:r>
      <w:r>
        <w:rPr>
          <w:rFonts w:hint="default" w:ascii="Times New Roman" w:hAnsi="Times New Roman" w:eastAsia="宋体" w:cs="Times New Roman"/>
          <w:color w:val="auto"/>
          <w:sz w:val="28"/>
          <w:szCs w:val="28"/>
          <w:highlight w:val="none"/>
        </w:rPr>
        <w:t>第一章 竞争性磋商公告</w:t>
      </w:r>
      <w:r>
        <w:rPr>
          <w:color w:val="auto"/>
          <w:sz w:val="28"/>
          <w:szCs w:val="28"/>
          <w:highlight w:val="none"/>
        </w:rPr>
        <w:tab/>
      </w:r>
      <w:bookmarkStart w:id="2" w:name="_Toc32300_WPSOffice_Level1Page"/>
      <w:r>
        <w:rPr>
          <w:color w:val="auto"/>
          <w:sz w:val="28"/>
          <w:szCs w:val="28"/>
          <w:highlight w:val="none"/>
        </w:rPr>
        <w:t>1</w:t>
      </w:r>
      <w:bookmarkEnd w:id="2"/>
      <w:r>
        <w:rPr>
          <w:color w:val="auto"/>
          <w:sz w:val="28"/>
          <w:szCs w:val="28"/>
          <w:highlight w:val="none"/>
        </w:rPr>
        <w:fldChar w:fldCharType="end"/>
      </w:r>
    </w:p>
    <w:p>
      <w:pPr>
        <w:pStyle w:val="32"/>
        <w:tabs>
          <w:tab w:val="right" w:leader="dot" w:pos="8879"/>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_Toc4316_WPSOffice_Level1 </w:instrText>
      </w:r>
      <w:r>
        <w:rPr>
          <w:color w:val="auto"/>
          <w:sz w:val="28"/>
          <w:szCs w:val="28"/>
          <w:highlight w:val="none"/>
        </w:rPr>
        <w:fldChar w:fldCharType="separate"/>
      </w:r>
      <w:r>
        <w:rPr>
          <w:rFonts w:hint="default" w:ascii="Times New Roman" w:hAnsi="Times New Roman" w:eastAsia="宋体" w:cs="Times New Roman"/>
          <w:color w:val="auto"/>
          <w:sz w:val="28"/>
          <w:szCs w:val="28"/>
          <w:highlight w:val="none"/>
        </w:rPr>
        <w:t>第二章 供应商须知</w:t>
      </w:r>
      <w:r>
        <w:rPr>
          <w:color w:val="auto"/>
          <w:sz w:val="28"/>
          <w:szCs w:val="28"/>
          <w:highlight w:val="none"/>
        </w:rPr>
        <w:tab/>
      </w:r>
      <w:bookmarkStart w:id="3" w:name="_Toc4316_WPSOffice_Level1Page"/>
      <w:r>
        <w:rPr>
          <w:color w:val="auto"/>
          <w:sz w:val="28"/>
          <w:szCs w:val="28"/>
          <w:highlight w:val="none"/>
        </w:rPr>
        <w:t>10</w:t>
      </w:r>
      <w:bookmarkEnd w:id="3"/>
      <w:r>
        <w:rPr>
          <w:color w:val="auto"/>
          <w:sz w:val="28"/>
          <w:szCs w:val="28"/>
          <w:highlight w:val="none"/>
        </w:rPr>
        <w:fldChar w:fldCharType="end"/>
      </w:r>
    </w:p>
    <w:p>
      <w:pPr>
        <w:pStyle w:val="32"/>
        <w:tabs>
          <w:tab w:val="right" w:leader="dot" w:pos="8879"/>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_Toc12257_WPSOffice_Level1 </w:instrText>
      </w:r>
      <w:r>
        <w:rPr>
          <w:color w:val="auto"/>
          <w:sz w:val="28"/>
          <w:szCs w:val="28"/>
          <w:highlight w:val="none"/>
        </w:rPr>
        <w:fldChar w:fldCharType="separate"/>
      </w:r>
      <w:r>
        <w:rPr>
          <w:rFonts w:hint="default" w:ascii="Times New Roman" w:hAnsi="Times New Roman" w:eastAsia="宋体" w:cs="Times New Roman"/>
          <w:color w:val="auto"/>
          <w:sz w:val="28"/>
          <w:szCs w:val="28"/>
          <w:highlight w:val="none"/>
        </w:rPr>
        <w:t>第三章 采购需求</w:t>
      </w:r>
      <w:r>
        <w:rPr>
          <w:color w:val="auto"/>
          <w:sz w:val="28"/>
          <w:szCs w:val="28"/>
          <w:highlight w:val="none"/>
        </w:rPr>
        <w:tab/>
      </w:r>
      <w:bookmarkStart w:id="4" w:name="_Toc12257_WPSOffice_Level1Page"/>
      <w:r>
        <w:rPr>
          <w:color w:val="auto"/>
          <w:sz w:val="28"/>
          <w:szCs w:val="28"/>
          <w:highlight w:val="none"/>
        </w:rPr>
        <w:t>25</w:t>
      </w:r>
      <w:bookmarkEnd w:id="4"/>
      <w:r>
        <w:rPr>
          <w:color w:val="auto"/>
          <w:sz w:val="28"/>
          <w:szCs w:val="28"/>
          <w:highlight w:val="none"/>
        </w:rPr>
        <w:fldChar w:fldCharType="end"/>
      </w:r>
    </w:p>
    <w:p>
      <w:pPr>
        <w:pStyle w:val="32"/>
        <w:tabs>
          <w:tab w:val="right" w:leader="dot" w:pos="8879"/>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_Toc24966_WPSOffice_Level1 </w:instrText>
      </w:r>
      <w:r>
        <w:rPr>
          <w:color w:val="auto"/>
          <w:sz w:val="28"/>
          <w:szCs w:val="28"/>
          <w:highlight w:val="none"/>
        </w:rPr>
        <w:fldChar w:fldCharType="separate"/>
      </w:r>
      <w:r>
        <w:rPr>
          <w:rFonts w:hint="default" w:ascii="Times New Roman" w:hAnsi="Times New Roman" w:eastAsia="宋体" w:cs="Times New Roman"/>
          <w:color w:val="auto"/>
          <w:sz w:val="28"/>
          <w:szCs w:val="28"/>
          <w:highlight w:val="none"/>
        </w:rPr>
        <w:t>第四章 评审程序、评审方法和评审标准</w:t>
      </w:r>
      <w:r>
        <w:rPr>
          <w:color w:val="auto"/>
          <w:sz w:val="28"/>
          <w:szCs w:val="28"/>
          <w:highlight w:val="none"/>
        </w:rPr>
        <w:tab/>
      </w:r>
      <w:bookmarkStart w:id="5" w:name="_Toc24966_WPSOffice_Level1Page"/>
      <w:r>
        <w:rPr>
          <w:color w:val="auto"/>
          <w:sz w:val="28"/>
          <w:szCs w:val="28"/>
          <w:highlight w:val="none"/>
        </w:rPr>
        <w:t>27</w:t>
      </w:r>
      <w:bookmarkEnd w:id="5"/>
      <w:r>
        <w:rPr>
          <w:color w:val="auto"/>
          <w:sz w:val="28"/>
          <w:szCs w:val="28"/>
          <w:highlight w:val="none"/>
        </w:rPr>
        <w:fldChar w:fldCharType="end"/>
      </w:r>
    </w:p>
    <w:p>
      <w:pPr>
        <w:pStyle w:val="32"/>
        <w:tabs>
          <w:tab w:val="right" w:leader="dot" w:pos="8879"/>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_Toc9388_WPSOffice_Level1 </w:instrText>
      </w:r>
      <w:r>
        <w:rPr>
          <w:color w:val="auto"/>
          <w:sz w:val="28"/>
          <w:szCs w:val="28"/>
          <w:highlight w:val="none"/>
        </w:rPr>
        <w:fldChar w:fldCharType="separate"/>
      </w:r>
      <w:r>
        <w:rPr>
          <w:rFonts w:hint="default" w:ascii="Times New Roman" w:hAnsi="Times New Roman" w:eastAsia="宋体" w:cs="Times New Roman"/>
          <w:color w:val="auto"/>
          <w:sz w:val="28"/>
          <w:szCs w:val="28"/>
          <w:highlight w:val="none"/>
        </w:rPr>
        <w:t>第五章 响应文件格式</w:t>
      </w:r>
      <w:r>
        <w:rPr>
          <w:color w:val="auto"/>
          <w:sz w:val="28"/>
          <w:szCs w:val="28"/>
          <w:highlight w:val="none"/>
        </w:rPr>
        <w:tab/>
      </w:r>
      <w:bookmarkStart w:id="6" w:name="_Toc9388_WPSOffice_Level1Page"/>
      <w:r>
        <w:rPr>
          <w:color w:val="auto"/>
          <w:sz w:val="28"/>
          <w:szCs w:val="28"/>
          <w:highlight w:val="none"/>
        </w:rPr>
        <w:t>33</w:t>
      </w:r>
      <w:bookmarkEnd w:id="6"/>
      <w:r>
        <w:rPr>
          <w:color w:val="auto"/>
          <w:sz w:val="28"/>
          <w:szCs w:val="28"/>
          <w:highlight w:val="none"/>
        </w:rPr>
        <w:fldChar w:fldCharType="end"/>
      </w:r>
    </w:p>
    <w:p>
      <w:pPr>
        <w:pStyle w:val="32"/>
        <w:tabs>
          <w:tab w:val="right" w:leader="dot" w:pos="8879"/>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_Toc1640_WPSOffice_Level1 </w:instrText>
      </w:r>
      <w:r>
        <w:rPr>
          <w:color w:val="auto"/>
          <w:sz w:val="28"/>
          <w:szCs w:val="28"/>
          <w:highlight w:val="none"/>
        </w:rPr>
        <w:fldChar w:fldCharType="separate"/>
      </w:r>
      <w:r>
        <w:rPr>
          <w:rFonts w:hint="default" w:ascii="Times New Roman" w:hAnsi="Times New Roman" w:eastAsia="宋体" w:cs="Times New Roman"/>
          <w:color w:val="auto"/>
          <w:sz w:val="28"/>
          <w:szCs w:val="28"/>
          <w:highlight w:val="none"/>
        </w:rPr>
        <w:t>第六章 合同文本</w:t>
      </w:r>
      <w:r>
        <w:rPr>
          <w:color w:val="auto"/>
          <w:sz w:val="28"/>
          <w:szCs w:val="28"/>
          <w:highlight w:val="none"/>
        </w:rPr>
        <w:tab/>
      </w:r>
      <w:bookmarkStart w:id="7" w:name="_Toc1640_WPSOffice_Level1Page"/>
      <w:r>
        <w:rPr>
          <w:color w:val="auto"/>
          <w:sz w:val="28"/>
          <w:szCs w:val="28"/>
          <w:highlight w:val="none"/>
        </w:rPr>
        <w:t>55</w:t>
      </w:r>
      <w:bookmarkEnd w:id="7"/>
      <w:r>
        <w:rPr>
          <w:color w:val="auto"/>
          <w:sz w:val="28"/>
          <w:szCs w:val="28"/>
          <w:highlight w:val="none"/>
        </w:rPr>
        <w:fldChar w:fldCharType="end"/>
      </w:r>
      <w:bookmarkEnd w:id="1"/>
    </w:p>
    <w:p>
      <w:pPr>
        <w:spacing w:line="400" w:lineRule="exact"/>
        <w:jc w:val="left"/>
        <w:rPr>
          <w:rFonts w:hint="eastAsia" w:ascii="宋体" w:hAnsi="宋体"/>
          <w:b/>
          <w:color w:val="auto"/>
          <w:sz w:val="48"/>
          <w:szCs w:val="48"/>
          <w:highlight w:val="none"/>
        </w:rPr>
      </w:pPr>
    </w:p>
    <w:p>
      <w:pPr>
        <w:spacing w:line="400" w:lineRule="exact"/>
        <w:jc w:val="center"/>
        <w:rPr>
          <w:rFonts w:hint="eastAsia" w:ascii="宋体" w:hAnsi="宋体"/>
          <w:b/>
          <w:color w:val="auto"/>
          <w:sz w:val="32"/>
          <w:szCs w:val="32"/>
          <w:highlight w:val="none"/>
        </w:rPr>
      </w:pPr>
    </w:p>
    <w:p>
      <w:pPr>
        <w:spacing w:line="400" w:lineRule="exact"/>
        <w:jc w:val="center"/>
        <w:rPr>
          <w:rFonts w:hint="eastAsia" w:ascii="宋体" w:hAnsi="宋体"/>
          <w:b/>
          <w:color w:val="auto"/>
          <w:sz w:val="32"/>
          <w:szCs w:val="32"/>
          <w:highlight w:val="none"/>
        </w:rPr>
      </w:pPr>
    </w:p>
    <w:p>
      <w:pPr>
        <w:spacing w:line="400" w:lineRule="exact"/>
        <w:jc w:val="center"/>
        <w:rPr>
          <w:rFonts w:hint="eastAsia" w:ascii="宋体" w:hAnsi="宋体"/>
          <w:b/>
          <w:color w:val="auto"/>
          <w:sz w:val="32"/>
          <w:szCs w:val="32"/>
          <w:highlight w:val="none"/>
        </w:rPr>
      </w:pPr>
    </w:p>
    <w:p>
      <w:pPr>
        <w:spacing w:line="400" w:lineRule="exact"/>
        <w:jc w:val="center"/>
        <w:rPr>
          <w:rFonts w:hint="eastAsia" w:ascii="宋体" w:hAnsi="宋体"/>
          <w:b/>
          <w:color w:val="auto"/>
          <w:sz w:val="32"/>
          <w:szCs w:val="32"/>
          <w:highlight w:val="none"/>
        </w:rPr>
      </w:pPr>
    </w:p>
    <w:p>
      <w:pPr>
        <w:tabs>
          <w:tab w:val="left" w:pos="1080"/>
        </w:tabs>
        <w:spacing w:line="360" w:lineRule="auto"/>
        <w:ind w:firstLine="422" w:firstLineChars="200"/>
        <w:rPr>
          <w:rFonts w:hint="eastAsia" w:ascii="宋体" w:hAnsi="宋体" w:cs="宋体"/>
          <w:b/>
          <w:bCs/>
          <w:i/>
          <w:iCs/>
          <w:color w:val="auto"/>
          <w:szCs w:val="21"/>
          <w:highlight w:val="none"/>
        </w:rPr>
        <w:sectPr>
          <w:footerReference r:id="rId8" w:type="first"/>
          <w:footerReference r:id="rId7" w:type="default"/>
          <w:pgSz w:w="11906" w:h="16838"/>
          <w:pgMar w:top="1440" w:right="1440" w:bottom="1440" w:left="1587" w:header="851" w:footer="992" w:gutter="0"/>
          <w:pgNumType w:start="0"/>
          <w:cols w:space="720" w:num="1"/>
          <w:titlePg/>
          <w:docGrid w:type="lines" w:linePitch="312" w:charSpace="0"/>
        </w:sectPr>
      </w:pPr>
    </w:p>
    <w:bookmarkEnd w:id="0"/>
    <w:p>
      <w:pPr>
        <w:pStyle w:val="3"/>
        <w:bidi w:val="0"/>
        <w:jc w:val="center"/>
        <w:rPr>
          <w:color w:val="auto"/>
          <w:highlight w:val="none"/>
        </w:rPr>
      </w:pPr>
      <w:bookmarkStart w:id="8" w:name="_Toc32300_WPSOffice_Level1"/>
      <w:r>
        <w:rPr>
          <w:rFonts w:hint="default"/>
          <w:color w:val="auto"/>
          <w:highlight w:val="none"/>
        </w:rPr>
        <w:t>第一章 竞争性磋商公告</w:t>
      </w:r>
      <w:bookmarkEnd w:id="8"/>
    </w:p>
    <w:p>
      <w:pPr>
        <w:spacing w:line="360" w:lineRule="auto"/>
        <w:jc w:val="center"/>
        <w:rPr>
          <w:rFonts w:ascii="宋体" w:hAnsi="宋体"/>
          <w:color w:val="auto"/>
          <w:szCs w:val="21"/>
          <w:highlight w:val="none"/>
        </w:rPr>
      </w:pPr>
      <w:r>
        <w:rPr>
          <w:rFonts w:hint="eastAsia" w:ascii="宋体" w:hAnsi="宋体"/>
          <w:b/>
          <w:bCs/>
          <w:color w:val="auto"/>
          <w:sz w:val="32"/>
          <w:szCs w:val="32"/>
          <w:highlight w:val="none"/>
        </w:rPr>
        <w:t>竞争性磋商公告</w:t>
      </w:r>
    </w:p>
    <w:p>
      <w:pPr>
        <w:pBdr>
          <w:top w:val="single" w:color="auto" w:sz="4" w:space="1"/>
          <w:left w:val="single" w:color="auto" w:sz="4" w:space="4"/>
          <w:bottom w:val="single" w:color="auto" w:sz="4" w:space="1"/>
          <w:right w:val="single" w:color="auto" w:sz="4" w:space="4"/>
        </w:pBd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5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网络学习平台培训服务  </w:t>
      </w:r>
      <w:r>
        <w:rPr>
          <w:rFonts w:hint="eastAsia" w:ascii="宋体" w:hAnsi="宋体"/>
          <w:color w:val="auto"/>
          <w:szCs w:val="21"/>
          <w:highlight w:val="none"/>
        </w:rPr>
        <w:t xml:space="preserve"> 采购项目的潜在供应商应在</w:t>
      </w:r>
      <w:r>
        <w:rPr>
          <w:rFonts w:hint="eastAsia" w:ascii="宋体" w:hAnsi="宋体"/>
          <w:color w:val="auto"/>
          <w:szCs w:val="21"/>
          <w:highlight w:val="none"/>
          <w:u w:val="single"/>
        </w:rPr>
        <w:t>广西农村信用社官方网站（https://www.gx966888.com）</w:t>
      </w:r>
      <w:r>
        <w:rPr>
          <w:rFonts w:hint="eastAsia" w:ascii="宋体" w:hAnsi="宋体"/>
          <w:color w:val="auto"/>
          <w:szCs w:val="21"/>
          <w:highlight w:val="none"/>
        </w:rPr>
        <w:t>获取竞争性磋商文件，并于</w:t>
      </w:r>
      <w:r>
        <w:rPr>
          <w:rFonts w:hint="eastAsia" w:ascii="宋体" w:hAnsi="宋体"/>
          <w:color w:val="auto"/>
          <w:szCs w:val="21"/>
          <w:highlight w:val="none"/>
          <w:u w:val="single"/>
          <w:lang w:val="en-US" w:eastAsia="zh-CN"/>
        </w:rPr>
        <w:t>2023</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6</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8</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00</w:t>
      </w:r>
      <w:r>
        <w:rPr>
          <w:rFonts w:hint="eastAsia" w:ascii="宋体" w:hAnsi="宋体"/>
          <w:bCs/>
          <w:color w:val="auto"/>
          <w:szCs w:val="21"/>
          <w:highlight w:val="none"/>
          <w:u w:val="single"/>
        </w:rPr>
        <w:t>分</w:t>
      </w:r>
      <w:r>
        <w:rPr>
          <w:rFonts w:hint="eastAsia" w:ascii="宋体" w:hAnsi="宋体"/>
          <w:bCs/>
          <w:color w:val="auto"/>
          <w:szCs w:val="21"/>
          <w:highlight w:val="none"/>
        </w:rPr>
        <w:t>（北京时间）前提交响应</w:t>
      </w:r>
      <w:r>
        <w:rPr>
          <w:rFonts w:ascii="宋体" w:hAnsi="宋体"/>
          <w:bCs/>
          <w:color w:val="auto"/>
          <w:szCs w:val="21"/>
          <w:highlight w:val="none"/>
        </w:rPr>
        <w:t>文件</w:t>
      </w:r>
      <w:r>
        <w:rPr>
          <w:rFonts w:hint="eastAsia" w:ascii="宋体" w:hAnsi="宋体"/>
          <w:color w:val="auto"/>
          <w:szCs w:val="21"/>
          <w:highlight w:val="none"/>
        </w:rPr>
        <w:t>。</w:t>
      </w:r>
    </w:p>
    <w:p>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一、项目基本情况</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lang w:eastAsia="zh-CN"/>
        </w:rPr>
        <w:t>（如有）</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项目名称：采购网络学习平台培训服务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预算金额：人民币50万元（含本数）</w:t>
      </w:r>
    </w:p>
    <w:p>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最高限价（如有）：</w:t>
      </w:r>
      <w:r>
        <w:rPr>
          <w:rFonts w:hint="eastAsia" w:ascii="宋体" w:hAnsi="宋体"/>
          <w:color w:val="auto"/>
          <w:szCs w:val="21"/>
          <w:highlight w:val="none"/>
          <w:lang w:val="en-US" w:eastAsia="zh-CN"/>
        </w:rPr>
        <w:t>人民币50万元</w:t>
      </w:r>
    </w:p>
    <w:p>
      <w:pPr>
        <w:spacing w:line="360" w:lineRule="auto"/>
        <w:ind w:firstLine="420" w:firstLineChars="200"/>
        <w:rPr>
          <w:rFonts w:hint="eastAsia" w:ascii="宋体" w:hAnsi="宋体"/>
          <w:i/>
          <w:iCs/>
          <w:color w:val="auto"/>
          <w:szCs w:val="21"/>
          <w:highlight w:val="none"/>
        </w:rPr>
      </w:pPr>
      <w:r>
        <w:rPr>
          <w:rFonts w:hint="eastAsia" w:ascii="宋体" w:hAnsi="宋体"/>
          <w:color w:val="auto"/>
          <w:szCs w:val="21"/>
          <w:highlight w:val="none"/>
        </w:rPr>
        <w:t>采购需求：</w:t>
      </w:r>
      <w:r>
        <w:rPr>
          <w:rFonts w:ascii="宋体" w:hAnsi="宋体"/>
          <w:i/>
          <w:iCs/>
          <w:color w:val="auto"/>
          <w:szCs w:val="21"/>
          <w:highlight w:val="none"/>
        </w:rPr>
        <w:t xml:space="preserve"> </w:t>
      </w:r>
      <w:r>
        <w:rPr>
          <w:rFonts w:hint="eastAsia" w:cs="仿宋_GB2312"/>
          <w:color w:val="auto"/>
          <w:highlight w:val="none"/>
          <w:lang w:val="en-US" w:eastAsia="zh-CN"/>
        </w:rPr>
        <w:t>本次采购拟选择一家网络学习平台服务供应商提供服务，满足广西农村信用社及下辖机构的在线学习、培训、考试、数据统计等工作需求，账号数量26000个，服务期两年。</w:t>
      </w:r>
    </w:p>
    <w:p>
      <w:pPr>
        <w:spacing w:line="500" w:lineRule="exact"/>
        <w:ind w:firstLine="420" w:firstLineChars="200"/>
        <w:rPr>
          <w:rFonts w:hint="eastAsia" w:ascii="宋体" w:hAnsi="宋体"/>
          <w:color w:val="auto"/>
          <w:szCs w:val="21"/>
          <w:highlight w:val="none"/>
          <w:u w:val="single"/>
          <w:lang w:val="en-US" w:eastAsia="zh-CN"/>
        </w:rPr>
      </w:pPr>
      <w:r>
        <w:rPr>
          <w:rFonts w:hint="eastAsia" w:ascii="宋体" w:hAnsi="宋体"/>
          <w:color w:val="auto"/>
          <w:szCs w:val="21"/>
          <w:highlight w:val="none"/>
        </w:rPr>
        <w:t>合同履行期限：</w:t>
      </w:r>
      <w:r>
        <w:rPr>
          <w:rFonts w:hint="eastAsia" w:ascii="宋体" w:hAnsi="宋体"/>
          <w:color w:val="auto"/>
          <w:szCs w:val="21"/>
          <w:highlight w:val="none"/>
          <w:u w:val="single"/>
          <w:lang w:val="en-US" w:eastAsia="zh-CN"/>
        </w:rPr>
        <w:t xml:space="preserve"> 24个月  </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本项目</w:t>
      </w:r>
      <w:r>
        <w:rPr>
          <w:rFonts w:hint="eastAsia" w:ascii="宋体" w:hAnsi="宋体"/>
          <w:color w:val="auto"/>
          <w:szCs w:val="21"/>
          <w:highlight w:val="none"/>
        </w:rPr>
        <w:sym w:font="Wingdings" w:char="00A8"/>
      </w:r>
      <w:r>
        <w:rPr>
          <w:rFonts w:hint="eastAsia" w:ascii="宋体" w:hAnsi="宋体"/>
          <w:color w:val="auto"/>
          <w:szCs w:val="21"/>
          <w:highlight w:val="none"/>
        </w:rPr>
        <w:t>接受</w:t>
      </w:r>
      <w:r>
        <w:rPr>
          <w:rFonts w:hint="eastAsia" w:ascii="宋体" w:hAnsi="宋体"/>
          <w:color w:val="auto"/>
          <w:szCs w:val="21"/>
          <w:highlight w:val="none"/>
        </w:rPr>
        <w:sym w:font="Wingdings" w:char="00FE"/>
      </w:r>
      <w:r>
        <w:rPr>
          <w:rFonts w:hint="eastAsia" w:ascii="宋体" w:hAnsi="宋体"/>
          <w:color w:val="auto"/>
          <w:szCs w:val="21"/>
          <w:highlight w:val="none"/>
          <w:lang w:eastAsia="zh-CN"/>
        </w:rPr>
        <w:t>不</w:t>
      </w:r>
      <w:r>
        <w:rPr>
          <w:rFonts w:hint="eastAsia" w:ascii="宋体" w:hAnsi="宋体"/>
          <w:color w:val="auto"/>
          <w:szCs w:val="21"/>
          <w:highlight w:val="none"/>
        </w:rPr>
        <w:t>接受联合体</w:t>
      </w:r>
      <w:r>
        <w:rPr>
          <w:rFonts w:hint="eastAsia" w:ascii="宋体" w:hAnsi="宋体"/>
          <w:color w:val="auto"/>
          <w:szCs w:val="21"/>
          <w:highlight w:val="none"/>
          <w:lang w:eastAsia="zh-CN"/>
        </w:rPr>
        <w:t>竞标</w:t>
      </w:r>
      <w:r>
        <w:rPr>
          <w:rFonts w:hint="eastAsia" w:ascii="宋体" w:hAnsi="宋体"/>
          <w:color w:val="auto"/>
          <w:szCs w:val="21"/>
          <w:highlight w:val="none"/>
        </w:rPr>
        <w:t>。</w:t>
      </w:r>
    </w:p>
    <w:p>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二、合格供应商的资格条件：</w:t>
      </w:r>
    </w:p>
    <w:p>
      <w:pPr>
        <w:spacing w:line="360" w:lineRule="auto"/>
        <w:ind w:firstLine="518" w:firstLineChars="247"/>
        <w:rPr>
          <w:rFonts w:hint="eastAsia" w:ascii="宋体" w:hAnsi="宋体"/>
          <w:color w:val="auto"/>
          <w:szCs w:val="21"/>
          <w:highlight w:val="none"/>
        </w:rPr>
      </w:pPr>
      <w:r>
        <w:rPr>
          <w:rFonts w:hint="eastAsia" w:ascii="宋体" w:hAnsi="宋体"/>
          <w:color w:val="auto"/>
          <w:szCs w:val="21"/>
          <w:highlight w:val="none"/>
        </w:rPr>
        <w:t>1.须为在中华人民共和国境内依法注册，具有独立承担民事责任的能力和经营许可，具有独立签订合同的权利，具备为本项目提供相关产品及服务能力的法人单位或</w:t>
      </w:r>
      <w:r>
        <w:rPr>
          <w:rFonts w:hint="eastAsia" w:ascii="宋体" w:hAnsi="宋体"/>
          <w:color w:val="auto"/>
          <w:szCs w:val="21"/>
          <w:highlight w:val="none"/>
          <w:lang w:eastAsia="zh-CN"/>
        </w:rPr>
        <w:t>非法人组织</w:t>
      </w:r>
      <w:r>
        <w:rPr>
          <w:rFonts w:hint="eastAsia" w:ascii="宋体" w:hAnsi="宋体"/>
          <w:color w:val="auto"/>
          <w:szCs w:val="21"/>
          <w:highlight w:val="none"/>
        </w:rPr>
        <w:t>；</w:t>
      </w:r>
    </w:p>
    <w:p>
      <w:pPr>
        <w:spacing w:line="360" w:lineRule="auto"/>
        <w:ind w:firstLine="518" w:firstLineChars="247"/>
        <w:rPr>
          <w:rFonts w:hint="eastAsia" w:ascii="宋体" w:hAnsi="宋体"/>
          <w:color w:val="auto"/>
          <w:szCs w:val="21"/>
          <w:highlight w:val="none"/>
        </w:rPr>
      </w:pPr>
      <w:r>
        <w:rPr>
          <w:rFonts w:hint="eastAsia" w:ascii="宋体" w:hAnsi="宋体"/>
          <w:color w:val="auto"/>
          <w:szCs w:val="21"/>
          <w:highlight w:val="none"/>
        </w:rPr>
        <w:t>2.分公司（分所）参与竞标的，必须提供总公司（总所）出具的授权书（</w:t>
      </w:r>
      <w:r>
        <w:rPr>
          <w:rFonts w:hint="eastAsia" w:ascii="宋体" w:hAnsi="宋体" w:cs="宋体"/>
          <w:color w:val="auto"/>
          <w:kern w:val="0"/>
          <w:szCs w:val="21"/>
          <w:highlight w:val="none"/>
        </w:rPr>
        <w:t>本公告所称“竞标”即指竞争性磋商，下同）</w:t>
      </w:r>
      <w:r>
        <w:rPr>
          <w:rFonts w:hint="eastAsia" w:ascii="宋体" w:hAnsi="宋体"/>
          <w:color w:val="auto"/>
          <w:szCs w:val="21"/>
          <w:highlight w:val="none"/>
        </w:rPr>
        <w:t>；</w:t>
      </w:r>
    </w:p>
    <w:p>
      <w:pPr>
        <w:spacing w:line="360" w:lineRule="auto"/>
        <w:ind w:firstLine="518" w:firstLineChars="247"/>
        <w:rPr>
          <w:rFonts w:hint="eastAsia" w:ascii="宋体" w:hAnsi="宋体"/>
          <w:color w:val="auto"/>
          <w:szCs w:val="21"/>
          <w:highlight w:val="none"/>
        </w:rPr>
      </w:pPr>
      <w:r>
        <w:rPr>
          <w:rFonts w:hint="eastAsia" w:ascii="宋体" w:hAnsi="宋体"/>
          <w:color w:val="auto"/>
          <w:szCs w:val="21"/>
          <w:highlight w:val="none"/>
        </w:rPr>
        <w:t>3.具有履行合同所必需的财务实力、专业技术能力和经验，团队主要人员应具有</w:t>
      </w:r>
      <w:r>
        <w:rPr>
          <w:rFonts w:hint="eastAsia" w:ascii="宋体" w:hAnsi="宋体"/>
          <w:color w:val="auto"/>
          <w:szCs w:val="21"/>
          <w:highlight w:val="none"/>
          <w:u w:val="single"/>
        </w:rPr>
        <w:t>网络学习平台培训服务</w:t>
      </w:r>
      <w:r>
        <w:rPr>
          <w:rFonts w:hint="eastAsia" w:ascii="宋体" w:hAnsi="宋体"/>
          <w:color w:val="auto"/>
          <w:szCs w:val="21"/>
          <w:highlight w:val="none"/>
        </w:rPr>
        <w:t>项目的经验；</w:t>
      </w:r>
    </w:p>
    <w:p>
      <w:pPr>
        <w:spacing w:line="360" w:lineRule="auto"/>
        <w:ind w:firstLine="518" w:firstLineChars="247"/>
        <w:rPr>
          <w:rFonts w:hint="eastAsia" w:ascii="宋体" w:hAnsi="宋体"/>
          <w:color w:val="auto"/>
          <w:szCs w:val="21"/>
          <w:highlight w:val="none"/>
        </w:rPr>
      </w:pPr>
      <w:r>
        <w:rPr>
          <w:rFonts w:hint="eastAsia" w:ascii="宋体" w:hAnsi="宋体"/>
          <w:color w:val="auto"/>
          <w:szCs w:val="21"/>
          <w:highlight w:val="none"/>
        </w:rPr>
        <w:t>4.遵守国家有关法律、法规，具有良好的商业信誉和健全的财务会计制度；</w:t>
      </w:r>
    </w:p>
    <w:p>
      <w:pPr>
        <w:spacing w:line="360" w:lineRule="auto"/>
        <w:ind w:firstLine="518" w:firstLineChars="247"/>
        <w:rPr>
          <w:rFonts w:hint="eastAsia" w:ascii="宋体" w:hAnsi="宋体"/>
          <w:color w:val="auto"/>
          <w:szCs w:val="21"/>
          <w:highlight w:val="none"/>
        </w:rPr>
      </w:pPr>
      <w:r>
        <w:rPr>
          <w:rFonts w:hint="eastAsia" w:ascii="宋体" w:hAnsi="宋体"/>
          <w:color w:val="auto"/>
          <w:szCs w:val="21"/>
          <w:highlight w:val="none"/>
        </w:rPr>
        <w:t>5.近三年内，在经营活动中没有重大违法记录和不良信用记录（提供“信用中国”网站（www.creditchina.gov.cn）或中国政府采购网（www.ccgp.gov.cn）信用记录查询结果完整截图并加盖单位公章），或未被国家有关部门</w:t>
      </w:r>
      <w:r>
        <w:rPr>
          <w:rFonts w:hint="eastAsia" w:ascii="宋体" w:hAnsi="宋体"/>
          <w:color w:val="auto"/>
          <w:szCs w:val="21"/>
          <w:highlight w:val="none"/>
          <w:lang w:eastAsia="zh-CN"/>
        </w:rPr>
        <w:t>列</w:t>
      </w:r>
      <w:r>
        <w:rPr>
          <w:rFonts w:hint="eastAsia" w:ascii="宋体" w:hAnsi="宋体"/>
          <w:color w:val="auto"/>
          <w:szCs w:val="21"/>
          <w:highlight w:val="none"/>
        </w:rPr>
        <w:t>入</w:t>
      </w:r>
      <w:r>
        <w:rPr>
          <w:rFonts w:hint="eastAsia" w:ascii="宋体" w:hAnsi="宋体"/>
          <w:color w:val="auto"/>
          <w:szCs w:val="21"/>
          <w:highlight w:val="none"/>
          <w:lang w:eastAsia="zh-CN"/>
        </w:rPr>
        <w:t>严重</w:t>
      </w:r>
      <w:r>
        <w:rPr>
          <w:rFonts w:hint="eastAsia" w:ascii="宋体" w:hAnsi="宋体"/>
          <w:color w:val="auto"/>
          <w:szCs w:val="21"/>
          <w:highlight w:val="none"/>
        </w:rPr>
        <w:t>失信</w:t>
      </w:r>
      <w:r>
        <w:rPr>
          <w:rFonts w:hint="eastAsia" w:ascii="宋体" w:hAnsi="宋体"/>
          <w:color w:val="auto"/>
          <w:szCs w:val="21"/>
          <w:highlight w:val="none"/>
          <w:lang w:eastAsia="zh-CN"/>
        </w:rPr>
        <w:t>主体</w:t>
      </w:r>
      <w:r>
        <w:rPr>
          <w:rFonts w:hint="eastAsia" w:ascii="宋体" w:hAnsi="宋体"/>
          <w:color w:val="auto"/>
          <w:szCs w:val="21"/>
          <w:highlight w:val="none"/>
        </w:rPr>
        <w:t>名单、</w:t>
      </w:r>
      <w:r>
        <w:rPr>
          <w:rFonts w:hint="eastAsia" w:ascii="宋体" w:hAnsi="宋体"/>
          <w:color w:val="auto"/>
          <w:szCs w:val="21"/>
          <w:highlight w:val="none"/>
          <w:lang w:eastAsia="zh-CN"/>
        </w:rPr>
        <w:t>经营异常名录、失信</w:t>
      </w:r>
      <w:r>
        <w:rPr>
          <w:rFonts w:hint="eastAsia" w:ascii="宋体" w:hAnsi="宋体"/>
          <w:color w:val="auto"/>
          <w:szCs w:val="21"/>
          <w:highlight w:val="none"/>
        </w:rPr>
        <w:t>被执行人</w:t>
      </w:r>
      <w:r>
        <w:rPr>
          <w:rFonts w:hint="eastAsia" w:ascii="宋体" w:hAnsi="宋体"/>
          <w:color w:val="auto"/>
          <w:szCs w:val="21"/>
          <w:highlight w:val="none"/>
          <w:lang w:eastAsia="zh-CN"/>
        </w:rPr>
        <w:t>、</w:t>
      </w:r>
      <w:r>
        <w:rPr>
          <w:rFonts w:hint="eastAsia" w:ascii="宋体" w:hAnsi="宋体" w:cs="Times New Roman"/>
          <w:color w:val="auto"/>
          <w:sz w:val="21"/>
          <w:szCs w:val="21"/>
          <w:highlight w:val="none"/>
          <w:lang w:eastAsia="zh-CN"/>
        </w:rPr>
        <w:t>政府采购严重违法失信行为记录名单、拖欠农民工工资失信联合惩戒对象名单、</w:t>
      </w:r>
      <w:r>
        <w:rPr>
          <w:rFonts w:hint="eastAsia" w:ascii="宋体" w:hAnsi="宋体" w:cs="Times New Roman"/>
          <w:color w:val="auto"/>
          <w:sz w:val="21"/>
          <w:szCs w:val="21"/>
          <w:highlight w:val="none"/>
        </w:rPr>
        <w:t>重大税收违法</w:t>
      </w:r>
      <w:r>
        <w:rPr>
          <w:rFonts w:hint="eastAsia" w:ascii="宋体" w:hAnsi="宋体" w:cs="Times New Roman"/>
          <w:color w:val="auto"/>
          <w:sz w:val="21"/>
          <w:szCs w:val="21"/>
          <w:highlight w:val="none"/>
          <w:lang w:eastAsia="zh-CN"/>
        </w:rPr>
        <w:t>失信主体名单、安全生产领域严重失信惩戒名单、统计严重失信企业名单、严重违法超限超载运输失信当事人名单</w:t>
      </w:r>
      <w:r>
        <w:rPr>
          <w:rFonts w:hint="eastAsia" w:ascii="宋体" w:hAnsi="宋体"/>
          <w:color w:val="auto"/>
          <w:szCs w:val="21"/>
          <w:highlight w:val="none"/>
        </w:rPr>
        <w:t>，或未被监管部门处罚导致暂停或终止业务；</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6.须在</w:t>
      </w:r>
      <w:r>
        <w:rPr>
          <w:rFonts w:hint="eastAsia" w:ascii="宋体" w:hAnsi="宋体"/>
          <w:color w:val="auto"/>
          <w:szCs w:val="21"/>
          <w:highlight w:val="none"/>
          <w:lang w:eastAsia="zh-CN"/>
        </w:rPr>
        <w:t>采购人</w:t>
      </w:r>
      <w:r>
        <w:rPr>
          <w:rFonts w:hint="eastAsia" w:ascii="宋体" w:hAnsi="宋体"/>
          <w:color w:val="auto"/>
          <w:szCs w:val="21"/>
          <w:highlight w:val="none"/>
        </w:rPr>
        <w:t>以往采购项目中没有过欺骗、欺诈等不良行为或不良记录，并提供书面承诺；</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供应商不得存在下列情形之一：具有投资控股关系的关联企业，或具有直接管理和被管理关系的母子公司，或同一母公司的子公司，或法定代表人为同一个人的两个及两个以上法人，或某一供应商的高管或高管的亲属为另一供应商的高管等可能会导致其在本次采购活动中行动一致的，如存在以上情形内的任意一种，均不得同时参与本项目竞标；</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8.购买了竞争性磋商文件（下文可简称为</w:t>
      </w:r>
      <w:r>
        <w:rPr>
          <w:rFonts w:hint="eastAsia" w:ascii="宋体" w:hAnsi="宋体"/>
          <w:color w:val="auto"/>
          <w:szCs w:val="21"/>
          <w:highlight w:val="none"/>
          <w:lang w:eastAsia="zh-CN"/>
        </w:rPr>
        <w:t>“</w:t>
      </w:r>
      <w:r>
        <w:rPr>
          <w:rFonts w:hint="eastAsia" w:ascii="宋体" w:hAnsi="宋体"/>
          <w:color w:val="auto"/>
          <w:szCs w:val="21"/>
          <w:highlight w:val="none"/>
        </w:rPr>
        <w:t>磋商文件</w:t>
      </w:r>
      <w:r>
        <w:rPr>
          <w:rFonts w:hint="eastAsia" w:ascii="宋体" w:hAnsi="宋体"/>
          <w:color w:val="auto"/>
          <w:szCs w:val="21"/>
          <w:highlight w:val="none"/>
          <w:lang w:eastAsia="zh-CN"/>
        </w:rPr>
        <w:t>”</w:t>
      </w:r>
      <w:r>
        <w:rPr>
          <w:rFonts w:hint="eastAsia" w:ascii="宋体" w:hAnsi="宋体"/>
          <w:color w:val="auto"/>
          <w:szCs w:val="21"/>
          <w:highlight w:val="none"/>
        </w:rPr>
        <w:t>）</w:t>
      </w:r>
      <w:r>
        <w:rPr>
          <w:rFonts w:hint="eastAsia" w:ascii="宋体" w:hAnsi="宋体"/>
          <w:color w:val="auto"/>
          <w:szCs w:val="21"/>
          <w:highlight w:val="none"/>
          <w:lang w:eastAsia="zh-CN"/>
        </w:rPr>
        <w:t>；</w:t>
      </w:r>
    </w:p>
    <w:p>
      <w:pPr>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9.供应商不得分包和转包</w:t>
      </w:r>
      <w:r>
        <w:rPr>
          <w:rFonts w:hint="eastAsia" w:ascii="宋体" w:hAnsi="宋体"/>
          <w:color w:val="auto"/>
          <w:szCs w:val="21"/>
          <w:highlight w:val="none"/>
          <w:lang w:eastAsia="zh-CN"/>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10.供应商与采购人不存在经济纠纷；</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.符合法律、法规规定的其它要求。</w:t>
      </w:r>
    </w:p>
    <w:p>
      <w:pPr>
        <w:spacing w:line="360" w:lineRule="auto"/>
        <w:ind w:firstLine="482" w:firstLineChars="200"/>
        <w:rPr>
          <w:rFonts w:ascii="黑体" w:hAnsi="黑体" w:eastAsia="黑体"/>
          <w:b/>
          <w:color w:val="auto"/>
          <w:sz w:val="24"/>
          <w:highlight w:val="none"/>
        </w:rPr>
      </w:pPr>
      <w:r>
        <w:rPr>
          <w:rFonts w:hint="eastAsia" w:ascii="黑体" w:hAnsi="黑体" w:eastAsia="黑体"/>
          <w:b/>
          <w:color w:val="auto"/>
          <w:sz w:val="24"/>
          <w:highlight w:val="none"/>
        </w:rPr>
        <w:t>三、获取</w:t>
      </w:r>
      <w:r>
        <w:rPr>
          <w:rFonts w:hint="eastAsia" w:ascii="黑体" w:hAnsi="黑体" w:eastAsia="黑体"/>
          <w:b/>
          <w:color w:val="auto"/>
          <w:sz w:val="24"/>
          <w:highlight w:val="none"/>
          <w:lang w:val="en-US" w:eastAsia="zh-CN"/>
        </w:rPr>
        <w:t>竞争性</w:t>
      </w:r>
      <w:r>
        <w:rPr>
          <w:rFonts w:hint="eastAsia" w:ascii="黑体" w:hAnsi="黑体" w:eastAsia="黑体"/>
          <w:b/>
          <w:color w:val="auto"/>
          <w:sz w:val="24"/>
          <w:highlight w:val="none"/>
        </w:rPr>
        <w:t>磋商文件</w:t>
      </w:r>
    </w:p>
    <w:p>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cs="宋体"/>
          <w:bCs/>
          <w:color w:val="auto"/>
          <w:kern w:val="0"/>
          <w:szCs w:val="21"/>
          <w:highlight w:val="none"/>
          <w:u w:val="single"/>
          <w:lang w:val="en-US" w:eastAsia="zh-CN"/>
        </w:rPr>
        <w:t>2023</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29日</w:t>
      </w:r>
      <w:r>
        <w:rPr>
          <w:rFonts w:hint="eastAsia" w:ascii="宋体" w:hAnsi="宋体" w:cs="宋体"/>
          <w:bCs/>
          <w:color w:val="auto"/>
          <w:kern w:val="0"/>
          <w:szCs w:val="21"/>
          <w:highlight w:val="none"/>
          <w:u w:val="single"/>
        </w:rPr>
        <w:t>至</w:t>
      </w:r>
      <w:r>
        <w:rPr>
          <w:rFonts w:hint="eastAsia" w:ascii="宋体" w:hAnsi="宋体" w:cs="宋体"/>
          <w:bCs/>
          <w:color w:val="auto"/>
          <w:kern w:val="0"/>
          <w:szCs w:val="21"/>
          <w:highlight w:val="none"/>
          <w:u w:val="single"/>
          <w:lang w:val="en-US" w:eastAsia="zh-CN"/>
        </w:rPr>
        <w:t>2023</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6</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8</w:t>
      </w:r>
      <w:r>
        <w:rPr>
          <w:rFonts w:hint="eastAsia" w:ascii="宋体" w:hAnsi="宋体" w:cs="宋体"/>
          <w:bCs/>
          <w:color w:val="auto"/>
          <w:kern w:val="0"/>
          <w:szCs w:val="21"/>
          <w:highlight w:val="none"/>
          <w:u w:val="single"/>
        </w:rPr>
        <w:t>日</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分</w:t>
      </w:r>
      <w:r>
        <w:rPr>
          <w:rFonts w:hint="eastAsia" w:ascii="宋体" w:hAnsi="宋体" w:cs="宋体"/>
          <w:bCs/>
          <w:color w:val="auto"/>
          <w:kern w:val="0"/>
          <w:szCs w:val="21"/>
          <w:highlight w:val="none"/>
          <w:lang w:val="en-US" w:eastAsia="zh-CN"/>
        </w:rPr>
        <w:t>止</w:t>
      </w:r>
      <w:r>
        <w:rPr>
          <w:rFonts w:hint="eastAsia" w:ascii="宋体" w:hAnsi="宋体" w:cs="宋体"/>
          <w:bCs/>
          <w:color w:val="auto"/>
          <w:kern w:val="0"/>
          <w:szCs w:val="21"/>
          <w:highlight w:val="none"/>
        </w:rPr>
        <w:t>（北京时间）</w:t>
      </w:r>
    </w:p>
    <w:p>
      <w:pPr>
        <w:spacing w:line="360" w:lineRule="auto"/>
        <w:ind w:firstLine="420" w:firstLineChars="200"/>
        <w:rPr>
          <w:rFonts w:hint="eastAsia" w:ascii="宋体" w:hAnsi="宋体" w:cs="宋体"/>
          <w:bCs/>
          <w:color w:val="auto"/>
          <w:kern w:val="0"/>
          <w:szCs w:val="21"/>
          <w:highlight w:val="none"/>
          <w:u w:val="single"/>
          <w:lang w:val="en-US" w:eastAsia="zh-CN"/>
        </w:rPr>
      </w:pPr>
      <w:r>
        <w:rPr>
          <w:rFonts w:hint="eastAsia" w:ascii="宋体" w:hAnsi="宋体" w:cs="宋体"/>
          <w:bCs/>
          <w:color w:val="auto"/>
          <w:kern w:val="0"/>
          <w:szCs w:val="21"/>
          <w:highlight w:val="none"/>
        </w:rPr>
        <w:t>地点：</w:t>
      </w:r>
      <w:r>
        <w:rPr>
          <w:rFonts w:hint="eastAsia" w:ascii="宋体" w:hAnsi="宋体" w:cs="宋体"/>
          <w:bCs/>
          <w:color w:val="auto"/>
          <w:kern w:val="0"/>
          <w:szCs w:val="21"/>
          <w:highlight w:val="none"/>
          <w:u w:val="single"/>
          <w:lang w:val="en-US" w:eastAsia="zh-CN"/>
        </w:rPr>
        <w:t>广西农村信用社官方网站（https://www.gx966888.com）</w:t>
      </w:r>
    </w:p>
    <w:p>
      <w:pPr>
        <w:spacing w:line="360" w:lineRule="auto"/>
        <w:ind w:firstLine="420" w:firstLineChars="200"/>
        <w:rPr>
          <w:rFonts w:hint="default" w:ascii="宋体" w:hAnsi="宋体" w:cs="宋体"/>
          <w:bCs/>
          <w:color w:val="auto"/>
          <w:kern w:val="0"/>
          <w:szCs w:val="21"/>
          <w:highlight w:val="none"/>
          <w:u w:val="single"/>
        </w:rPr>
      </w:pPr>
      <w:r>
        <w:rPr>
          <w:rFonts w:hint="eastAsia" w:ascii="宋体" w:hAnsi="宋体" w:cs="宋体"/>
          <w:bCs/>
          <w:color w:val="auto"/>
          <w:kern w:val="0"/>
          <w:szCs w:val="21"/>
          <w:highlight w:val="none"/>
        </w:rPr>
        <w:t>方式：</w:t>
      </w:r>
      <w:r>
        <w:rPr>
          <w:rFonts w:hint="eastAsia" w:ascii="宋体" w:hAnsi="宋体" w:cs="宋体"/>
          <w:bCs/>
          <w:color w:val="auto"/>
          <w:kern w:val="0"/>
          <w:szCs w:val="21"/>
          <w:highlight w:val="none"/>
          <w:u w:val="single"/>
          <w:lang w:val="en-US" w:eastAsia="zh-CN"/>
        </w:rPr>
        <w:t>网站首页“重要公告”之“通知公告”栏目中下载采购文件</w:t>
      </w:r>
    </w:p>
    <w:p>
      <w:pPr>
        <w:spacing w:line="360" w:lineRule="auto"/>
        <w:ind w:firstLine="420" w:firstLineChars="200"/>
        <w:rPr>
          <w:rFonts w:hint="default" w:ascii="宋体" w:hAnsi="宋体" w:cs="宋体"/>
          <w:color w:val="auto"/>
          <w:szCs w:val="21"/>
          <w:highlight w:val="none"/>
          <w:u w:val="single"/>
        </w:rPr>
      </w:pPr>
      <w:r>
        <w:rPr>
          <w:rFonts w:hint="eastAsia" w:ascii="宋体" w:hAnsi="宋体" w:cs="宋体"/>
          <w:bCs/>
          <w:color w:val="auto"/>
          <w:kern w:val="0"/>
          <w:szCs w:val="21"/>
          <w:highlight w:val="none"/>
        </w:rPr>
        <w:t>售价：</w:t>
      </w:r>
      <w:r>
        <w:rPr>
          <w:rFonts w:hint="eastAsia" w:ascii="宋体" w:hAnsi="宋体" w:cs="宋体"/>
          <w:bCs/>
          <w:color w:val="auto"/>
          <w:kern w:val="0"/>
          <w:szCs w:val="21"/>
          <w:highlight w:val="none"/>
          <w:u w:val="single"/>
          <w:lang w:val="en-US" w:eastAsia="zh-CN"/>
        </w:rPr>
        <w:t xml:space="preserve"> 免费获取 </w:t>
      </w:r>
    </w:p>
    <w:p>
      <w:pPr>
        <w:spacing w:line="360" w:lineRule="auto"/>
        <w:ind w:firstLine="482" w:firstLineChars="200"/>
        <w:rPr>
          <w:rFonts w:ascii="黑体" w:hAnsi="黑体" w:eastAsia="黑体"/>
          <w:b/>
          <w:color w:val="auto"/>
          <w:sz w:val="24"/>
          <w:highlight w:val="none"/>
        </w:rPr>
      </w:pPr>
      <w:r>
        <w:rPr>
          <w:rFonts w:hint="eastAsia" w:ascii="黑体" w:hAnsi="黑体" w:eastAsia="黑体"/>
          <w:b/>
          <w:color w:val="auto"/>
          <w:sz w:val="24"/>
          <w:highlight w:val="none"/>
        </w:rPr>
        <w:t>四、响应文件提交</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供应商可自行选择到现场递交响应文件或通过邮寄方式寄送。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现场递交响应文件。供应商应于</w:t>
      </w:r>
      <w:r>
        <w:rPr>
          <w:rFonts w:hint="eastAsia" w:ascii="宋体" w:hAnsi="宋体" w:cs="宋体"/>
          <w:color w:val="auto"/>
          <w:szCs w:val="21"/>
          <w:highlight w:val="none"/>
          <w:u w:val="single"/>
          <w:lang w:val="en-US" w:eastAsia="zh-CN"/>
        </w:rPr>
        <w:t>2023</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分</w:t>
      </w:r>
      <w:r>
        <w:rPr>
          <w:rFonts w:hint="eastAsia" w:ascii="宋体" w:hAnsi="宋体" w:cs="宋体"/>
          <w:color w:val="auto"/>
          <w:szCs w:val="21"/>
          <w:highlight w:val="none"/>
        </w:rPr>
        <w:t>前将响应文件密封送交到</w:t>
      </w:r>
      <w:r>
        <w:rPr>
          <w:rFonts w:hint="eastAsia" w:ascii="宋体" w:hAnsi="宋体" w:cs="宋体"/>
          <w:color w:val="auto"/>
          <w:szCs w:val="21"/>
          <w:highlight w:val="none"/>
          <w:u w:val="single"/>
        </w:rPr>
        <w:t>广西壮族自治区农村信用社联合社60楼6040办公室（广西南宁市民族大道148号）</w:t>
      </w:r>
      <w:r>
        <w:rPr>
          <w:rFonts w:hint="eastAsia" w:ascii="宋体" w:hAnsi="宋体" w:cs="宋体"/>
          <w:color w:val="auto"/>
          <w:szCs w:val="21"/>
          <w:highlight w:val="none"/>
        </w:rPr>
        <w:t>，逾期送达或未密封将予以拒收。</w:t>
      </w:r>
    </w:p>
    <w:p>
      <w:pPr>
        <w:numPr>
          <w:ilvl w:val="0"/>
          <w:numId w:val="0"/>
        </w:numPr>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2.采用邮寄方式送达：</w:t>
      </w:r>
    </w:p>
    <w:p>
      <w:pPr>
        <w:spacing w:line="360" w:lineRule="auto"/>
        <w:ind w:left="14"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（1）响应文件必须在递交响应文件截止时间前送达响应文件邮寄地址，采购</w:t>
      </w:r>
      <w:r>
        <w:rPr>
          <w:rFonts w:hint="eastAsia" w:ascii="宋体" w:hAnsi="宋体" w:cs="宋体"/>
          <w:color w:val="auto"/>
          <w:szCs w:val="21"/>
          <w:highlight w:val="none"/>
          <w:lang w:eastAsia="zh-CN"/>
        </w:rPr>
        <w:t>人</w:t>
      </w:r>
      <w:r>
        <w:rPr>
          <w:rFonts w:hint="eastAsia" w:ascii="宋体" w:hAnsi="宋体" w:cs="宋体"/>
          <w:color w:val="auto"/>
          <w:szCs w:val="21"/>
          <w:highlight w:val="none"/>
        </w:rPr>
        <w:t>工作人员签收邮寄包裹的时间即为响应文件的送达时间，逾期送达的响应文件无效。逾期送达的，后果由供应商自行承担。</w:t>
      </w:r>
    </w:p>
    <w:p>
      <w:pPr>
        <w:spacing w:line="360" w:lineRule="auto"/>
        <w:ind w:left="14"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（2）为确保疫情防控期间邮寄包裹能及时送达，供应商应充分预留响应文件邮寄、送达所需要的时间，应选择邮寄运送时间有保障的快递公司寄送响应文件。</w:t>
      </w:r>
    </w:p>
    <w:p>
      <w:pPr>
        <w:spacing w:line="360" w:lineRule="auto"/>
        <w:ind w:left="14"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按照磋商文件要求装订密封好响应文件后，应使用不透明、防水的邮寄袋或箱子再次包裹已密封的响应文件，并在邮寄袋或箱子上粘牢注明项目名称、项目编号、有效的电子邮箱、联系人及联系方式的纸质表格。</w:t>
      </w:r>
    </w:p>
    <w:tbl>
      <w:tblPr>
        <w:tblStyle w:val="26"/>
        <w:tblW w:w="8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8620" w:type="dxa"/>
            <w:noWrap w:val="0"/>
            <w:vAlign w:val="top"/>
          </w:tcPr>
          <w:p>
            <w:pPr>
              <w:spacing w:line="5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邮件外包粘贴表格（格式）</w:t>
            </w:r>
          </w:p>
          <w:p>
            <w:pPr>
              <w:spacing w:line="5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项目名称：</w:t>
            </w:r>
          </w:p>
          <w:p>
            <w:pPr>
              <w:spacing w:line="5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项目编号：</w:t>
            </w:r>
          </w:p>
          <w:p>
            <w:pPr>
              <w:spacing w:line="5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响应文件开启日期：</w:t>
            </w:r>
          </w:p>
          <w:p>
            <w:pPr>
              <w:spacing w:line="5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联系电话：</w:t>
            </w:r>
          </w:p>
          <w:p>
            <w:pPr>
              <w:spacing w:line="500" w:lineRule="exact"/>
              <w:ind w:firstLine="420" w:firstLineChars="200"/>
              <w:jc w:val="left"/>
              <w:rPr>
                <w:rFonts w:ascii="宋体" w:hAnsi="宋体" w:cs="宋体"/>
                <w:bCs/>
                <w:color w:val="auto"/>
                <w:kern w:val="0"/>
                <w:sz w:val="24"/>
                <w:highlight w:val="none"/>
              </w:rPr>
            </w:pPr>
            <w:r>
              <w:rPr>
                <w:rFonts w:hint="eastAsia" w:ascii="宋体" w:hAnsi="宋体" w:cs="宋体"/>
                <w:bCs/>
                <w:color w:val="auto"/>
                <w:kern w:val="0"/>
                <w:szCs w:val="21"/>
                <w:highlight w:val="none"/>
              </w:rPr>
              <w:t>联系电子邮箱：</w:t>
            </w:r>
          </w:p>
        </w:tc>
      </w:tr>
    </w:tbl>
    <w:p>
      <w:pPr>
        <w:spacing w:line="360" w:lineRule="auto"/>
        <w:ind w:left="414"/>
        <w:rPr>
          <w:rFonts w:ascii="宋体" w:hAnsi="宋体" w:cs="宋体"/>
          <w:color w:val="auto"/>
          <w:szCs w:val="21"/>
          <w:highlight w:val="none"/>
        </w:rPr>
      </w:pPr>
      <w:r>
        <w:rPr>
          <w:rFonts w:hint="eastAsia" w:ascii="宋体" w:hAnsi="宋体" w:cs="宋体"/>
          <w:color w:val="auto"/>
          <w:szCs w:val="21"/>
          <w:highlight w:val="none"/>
        </w:rPr>
        <w:t>（4）响应文件邮寄地址：</w:t>
      </w:r>
      <w:r>
        <w:rPr>
          <w:rFonts w:hint="eastAsia" w:ascii="宋体" w:hAnsi="宋体" w:cs="宋体"/>
          <w:color w:val="auto"/>
          <w:szCs w:val="21"/>
          <w:highlight w:val="none"/>
          <w:u w:val="single"/>
        </w:rPr>
        <w:t>广西南宁市民族大道148号广西壮族自治区农村信用社联合社60楼6040办公室</w:t>
      </w:r>
    </w:p>
    <w:p>
      <w:pPr>
        <w:spacing w:line="360" w:lineRule="auto"/>
        <w:ind w:left="414"/>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（5）收件人：</w:t>
      </w:r>
      <w:r>
        <w:rPr>
          <w:rFonts w:hint="eastAsia" w:ascii="宋体" w:hAnsi="宋体" w:cs="宋体"/>
          <w:color w:val="auto"/>
          <w:szCs w:val="21"/>
          <w:highlight w:val="none"/>
          <w:u w:val="single"/>
          <w:lang w:val="en-US" w:eastAsia="zh-CN"/>
        </w:rPr>
        <w:t>黄经纬</w:t>
      </w:r>
      <w:r>
        <w:rPr>
          <w:rFonts w:hint="eastAsia" w:ascii="宋体" w:hAnsi="宋体" w:cs="宋体"/>
          <w:color w:val="auto"/>
          <w:szCs w:val="21"/>
          <w:highlight w:val="none"/>
        </w:rPr>
        <w:t>，联系电话：</w:t>
      </w:r>
      <w:r>
        <w:rPr>
          <w:rFonts w:hint="eastAsia" w:ascii="宋体" w:hAnsi="宋体" w:cs="宋体"/>
          <w:color w:val="auto"/>
          <w:szCs w:val="21"/>
          <w:highlight w:val="none"/>
          <w:u w:val="single"/>
          <w:lang w:val="en-US" w:eastAsia="zh-CN"/>
        </w:rPr>
        <w:t>0771-2350335</w:t>
      </w:r>
    </w:p>
    <w:p>
      <w:pPr>
        <w:spacing w:line="360" w:lineRule="auto"/>
        <w:ind w:left="14" w:firstLine="399" w:firstLineChars="190"/>
        <w:rPr>
          <w:rFonts w:hint="eastAsia" w:ascii="宋体" w:hAnsi="宋体" w:cs="宋体"/>
          <w:color w:val="auto"/>
          <w:szCs w:val="21"/>
          <w:highlight w:val="none"/>
        </w:rPr>
      </w:pPr>
      <w:r>
        <w:rPr>
          <w:rFonts w:hint="eastAsia" w:ascii="宋体" w:hAnsi="宋体" w:cs="宋体"/>
          <w:color w:val="auto"/>
          <w:szCs w:val="21"/>
          <w:highlight w:val="none"/>
        </w:rPr>
        <w:t>（6）响应文件邮寄接收时间：自磋商文件发布之时起至投标截止时间止的正常工作时间，正常工作时间是指每天8:00-12:00，15:00-18:00，双休日和法定节假日不接收响应文件。</w:t>
      </w:r>
    </w:p>
    <w:p>
      <w:pPr>
        <w:spacing w:line="360" w:lineRule="auto"/>
        <w:ind w:firstLine="354" w:firstLineChars="147"/>
        <w:rPr>
          <w:rFonts w:hint="eastAsia" w:ascii="黑体" w:hAnsi="黑体" w:eastAsia="黑体"/>
          <w:b/>
          <w:color w:val="auto"/>
          <w:sz w:val="24"/>
          <w:highlight w:val="none"/>
        </w:rPr>
      </w:pPr>
      <w:r>
        <w:rPr>
          <w:rFonts w:hint="eastAsia" w:ascii="黑体" w:hAnsi="黑体" w:eastAsia="黑体"/>
          <w:b/>
          <w:color w:val="auto"/>
          <w:sz w:val="24"/>
          <w:highlight w:val="none"/>
        </w:rPr>
        <w:t>五、响应文件开启</w:t>
      </w:r>
    </w:p>
    <w:p>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w:t>
      </w:r>
      <w:r>
        <w:rPr>
          <w:rFonts w:hint="eastAsia" w:ascii="宋体" w:hAnsi="宋体"/>
          <w:color w:val="auto"/>
          <w:szCs w:val="21"/>
          <w:highlight w:val="none"/>
          <w:u w:val="single"/>
          <w:lang w:val="en-US" w:eastAsia="zh-CN"/>
        </w:rPr>
        <w:t>2023</w:t>
      </w:r>
      <w:r>
        <w:rPr>
          <w:rFonts w:hint="eastAsia" w:ascii="宋体" w:hAnsi="宋体"/>
          <w:bCs/>
          <w:color w:val="auto"/>
          <w:szCs w:val="21"/>
          <w:highlight w:val="none"/>
        </w:rPr>
        <w:t>年</w:t>
      </w:r>
      <w:r>
        <w:rPr>
          <w:rFonts w:hint="eastAsia" w:ascii="宋体" w:hAnsi="宋体"/>
          <w:bCs/>
          <w:color w:val="auto"/>
          <w:szCs w:val="21"/>
          <w:highlight w:val="none"/>
          <w:u w:val="single"/>
          <w:lang w:val="en-US" w:eastAsia="zh-CN"/>
        </w:rPr>
        <w:t>6</w:t>
      </w:r>
      <w:r>
        <w:rPr>
          <w:rFonts w:hint="eastAsia" w:ascii="宋体" w:hAnsi="宋体"/>
          <w:bCs/>
          <w:color w:val="auto"/>
          <w:szCs w:val="21"/>
          <w:highlight w:val="none"/>
        </w:rPr>
        <w:t>月</w:t>
      </w:r>
      <w:r>
        <w:rPr>
          <w:rFonts w:hint="eastAsia" w:ascii="宋体" w:hAnsi="宋体"/>
          <w:bCs/>
          <w:color w:val="auto"/>
          <w:szCs w:val="21"/>
          <w:highlight w:val="none"/>
          <w:u w:val="single"/>
          <w:lang w:val="en-US" w:eastAsia="zh-CN"/>
        </w:rPr>
        <w:t>8</w:t>
      </w:r>
      <w:r>
        <w:rPr>
          <w:rFonts w:hint="eastAsia" w:ascii="宋体" w:hAnsi="宋体"/>
          <w:bCs/>
          <w:color w:val="auto"/>
          <w:szCs w:val="21"/>
          <w:highlight w:val="none"/>
        </w:rPr>
        <w:t>日</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rPr>
        <w:t>时</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rPr>
        <w:t>分（北京时间）</w:t>
      </w:r>
    </w:p>
    <w:p>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w:t>
      </w:r>
      <w:r>
        <w:rPr>
          <w:rFonts w:hint="eastAsia" w:ascii="宋体" w:hAnsi="宋体"/>
          <w:color w:val="auto"/>
          <w:szCs w:val="21"/>
          <w:highlight w:val="none"/>
          <w:u w:val="single"/>
        </w:rPr>
        <w:t>广西壮族自治区农村信用社联合社60楼6040办公室（广西南宁市民族大道148号)</w:t>
      </w:r>
    </w:p>
    <w:p>
      <w:pPr>
        <w:spacing w:line="360" w:lineRule="auto"/>
        <w:ind w:firstLine="361" w:firstLineChars="150"/>
        <w:rPr>
          <w:rFonts w:ascii="黑体" w:hAnsi="黑体" w:eastAsia="黑体"/>
          <w:b/>
          <w:color w:val="auto"/>
          <w:sz w:val="24"/>
          <w:highlight w:val="none"/>
        </w:rPr>
      </w:pPr>
      <w:r>
        <w:rPr>
          <w:rFonts w:hint="eastAsia" w:ascii="黑体" w:hAnsi="黑体" w:eastAsia="黑体"/>
          <w:b/>
          <w:color w:val="auto"/>
          <w:sz w:val="24"/>
          <w:highlight w:val="none"/>
        </w:rPr>
        <w:t>六、公告期限</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个工作日。</w:t>
      </w:r>
    </w:p>
    <w:p>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lang w:eastAsia="zh-CN"/>
        </w:rPr>
        <w:t>七、</w:t>
      </w:r>
      <w:r>
        <w:rPr>
          <w:rFonts w:hint="eastAsia" w:ascii="黑体" w:hAnsi="黑体" w:eastAsia="黑体"/>
          <w:b/>
          <w:color w:val="auto"/>
          <w:sz w:val="24"/>
          <w:highlight w:val="none"/>
        </w:rPr>
        <w:t>其他补充事宜</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eastAsia="zh-CN"/>
        </w:rPr>
        <w:t>网上查询地址：</w:t>
      </w:r>
      <w:r>
        <w:rPr>
          <w:rFonts w:hint="eastAsia" w:ascii="宋体" w:hAnsi="宋体"/>
          <w:color w:val="auto"/>
          <w:szCs w:val="21"/>
          <w:highlight w:val="none"/>
          <w:u w:val="single"/>
        </w:rPr>
        <w:t>广西农村信用社官方网站（https://www.gx966888.com）</w:t>
      </w:r>
    </w:p>
    <w:p>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lang w:eastAsia="zh-CN"/>
        </w:rPr>
        <w:t>八</w:t>
      </w:r>
      <w:r>
        <w:rPr>
          <w:rFonts w:hint="eastAsia" w:ascii="黑体" w:hAnsi="黑体" w:eastAsia="黑体"/>
          <w:b/>
          <w:color w:val="auto"/>
          <w:sz w:val="24"/>
          <w:highlight w:val="none"/>
        </w:rPr>
        <w:t>、凡对本次采购提出询问，请按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1.采购人信息</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名    称：</w:t>
      </w:r>
      <w:r>
        <w:rPr>
          <w:rFonts w:hint="eastAsia" w:ascii="宋体" w:hAnsi="宋体" w:cs="宋体"/>
          <w:color w:val="auto"/>
          <w:kern w:val="0"/>
          <w:szCs w:val="21"/>
          <w:highlight w:val="none"/>
          <w:u w:val="single"/>
          <w:lang w:val="en-US" w:eastAsia="zh-CN"/>
        </w:rPr>
        <w:t>广西壮族自治区农村信用社联合社</w:t>
      </w:r>
      <w:r>
        <w:rPr>
          <w:rFonts w:hint="eastAsia" w:ascii="宋体" w:hAnsi="宋体" w:cs="宋体"/>
          <w:color w:val="auto"/>
          <w:kern w:val="0"/>
          <w:szCs w:val="21"/>
          <w:highlight w:val="none"/>
          <w:u w:val="none"/>
        </w:rPr>
        <w:t>　　　　　　　　　　　　</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u w:val="single"/>
          <w:lang w:val="en-US" w:eastAsia="zh-CN"/>
        </w:rPr>
        <w:t>广西南宁市民族大道148号</w:t>
      </w:r>
      <w:r>
        <w:rPr>
          <w:rFonts w:hint="eastAsia" w:ascii="宋体" w:hAnsi="宋体" w:cs="宋体"/>
          <w:color w:val="auto"/>
          <w:kern w:val="0"/>
          <w:szCs w:val="21"/>
          <w:highlight w:val="none"/>
          <w:u w:val="none"/>
        </w:rPr>
        <w:t>　　　　　　　　　　　　</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联系方式：</w:t>
      </w:r>
      <w:r>
        <w:rPr>
          <w:rFonts w:hint="eastAsia" w:ascii="宋体" w:hAnsi="宋体" w:cs="宋体"/>
          <w:color w:val="auto"/>
          <w:kern w:val="0"/>
          <w:szCs w:val="21"/>
          <w:highlight w:val="none"/>
          <w:u w:val="single"/>
          <w:lang w:val="en-US" w:eastAsia="zh-CN"/>
        </w:rPr>
        <w:t>0771-2350335</w:t>
      </w:r>
      <w:r>
        <w:rPr>
          <w:rFonts w:hint="eastAsia" w:ascii="宋体" w:hAnsi="宋体" w:cs="宋体"/>
          <w:color w:val="auto"/>
          <w:kern w:val="0"/>
          <w:szCs w:val="21"/>
          <w:highlight w:val="none"/>
          <w:u w:val="none"/>
        </w:rPr>
        <w:t xml:space="preserve">                     　 </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.项目联系方式</w:t>
      </w:r>
    </w:p>
    <w:p>
      <w:pPr>
        <w:spacing w:line="360" w:lineRule="auto"/>
        <w:ind w:firstLine="420" w:firstLineChars="200"/>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rPr>
        <w:t>项目联系人：</w:t>
      </w:r>
      <w:r>
        <w:rPr>
          <w:rFonts w:hint="eastAsia" w:ascii="宋体" w:hAnsi="宋体" w:cs="宋体"/>
          <w:i w:val="0"/>
          <w:iCs w:val="0"/>
          <w:color w:val="auto"/>
          <w:kern w:val="0"/>
          <w:sz w:val="21"/>
          <w:szCs w:val="21"/>
          <w:highlight w:val="none"/>
          <w:u w:val="single"/>
          <w:lang w:val="en-US" w:eastAsia="zh-CN"/>
        </w:rPr>
        <w:t>黄经纬</w:t>
      </w:r>
    </w:p>
    <w:p>
      <w:pPr>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Cs w:val="21"/>
          <w:highlight w:val="none"/>
        </w:rPr>
        <w:t>电　　话：</w:t>
      </w:r>
      <w:r>
        <w:rPr>
          <w:rFonts w:hint="eastAsia" w:ascii="宋体" w:hAnsi="宋体" w:cs="宋体"/>
          <w:color w:val="auto"/>
          <w:kern w:val="0"/>
          <w:szCs w:val="21"/>
          <w:highlight w:val="none"/>
          <w:u w:val="single"/>
        </w:rPr>
        <w:t>0771-2350335</w:t>
      </w:r>
    </w:p>
    <w:p>
      <w:pPr>
        <w:spacing w:line="360" w:lineRule="auto"/>
        <w:jc w:val="both"/>
        <w:rPr>
          <w:rFonts w:ascii="宋体" w:hAnsi="宋体"/>
          <w:b/>
          <w:bCs/>
          <w:color w:val="auto"/>
          <w:sz w:val="32"/>
          <w:szCs w:val="32"/>
          <w:highlight w:val="none"/>
        </w:rPr>
      </w:pPr>
    </w:p>
    <w:p>
      <w:pPr>
        <w:spacing w:line="360" w:lineRule="auto"/>
        <w:ind w:firstLine="643" w:firstLineChars="200"/>
        <w:jc w:val="center"/>
        <w:rPr>
          <w:rFonts w:hint="eastAsia" w:ascii="宋体" w:hAnsi="宋体"/>
          <w:b/>
          <w:bCs/>
          <w:color w:val="auto"/>
          <w:sz w:val="36"/>
          <w:szCs w:val="36"/>
          <w:highlight w:val="none"/>
        </w:rPr>
      </w:pPr>
      <w:r>
        <w:rPr>
          <w:rFonts w:hint="eastAsia" w:ascii="宋体" w:hAnsi="宋体"/>
          <w:b/>
          <w:bCs/>
          <w:color w:val="auto"/>
          <w:sz w:val="32"/>
          <w:szCs w:val="32"/>
          <w:highlight w:val="none"/>
        </w:rPr>
        <w:br w:type="page"/>
      </w:r>
      <w:r>
        <w:rPr>
          <w:rFonts w:hint="eastAsia" w:ascii="宋体" w:hAnsi="宋体"/>
          <w:b/>
          <w:bCs/>
          <w:color w:val="auto"/>
          <w:sz w:val="36"/>
          <w:szCs w:val="36"/>
          <w:highlight w:val="none"/>
        </w:rPr>
        <w:t>竞标邀请函</w:t>
      </w:r>
    </w:p>
    <w:p>
      <w:pPr>
        <w:pStyle w:val="11"/>
        <w:spacing w:line="460" w:lineRule="exact"/>
        <w:jc w:val="center"/>
        <w:rPr>
          <w:rFonts w:hint="eastAsia" w:ascii="宋体" w:hAnsi="宋体"/>
          <w:color w:val="auto"/>
          <w:sz w:val="32"/>
          <w:szCs w:val="32"/>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（受邀单位名称） </w:t>
      </w:r>
      <w:r>
        <w:rPr>
          <w:rFonts w:hint="eastAsia" w:ascii="宋体" w:hAnsi="宋体" w:cs="宋体"/>
          <w:color w:val="auto"/>
          <w:szCs w:val="21"/>
          <w:highlight w:val="none"/>
        </w:rPr>
        <w:t>：</w:t>
      </w:r>
    </w:p>
    <w:p>
      <w:pPr>
        <w:spacing w:line="360" w:lineRule="auto"/>
        <w:rPr>
          <w:rFonts w:hint="eastAsia" w:ascii="宋体" w:hAnsi="宋体"/>
          <w:color w:val="auto"/>
          <w:szCs w:val="21"/>
          <w:highlight w:val="none"/>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网络学习平台培训服务    </w:t>
      </w:r>
      <w:r>
        <w:rPr>
          <w:rFonts w:hint="eastAsia" w:ascii="宋体" w:hAnsi="宋体"/>
          <w:color w:val="auto"/>
          <w:szCs w:val="21"/>
          <w:highlight w:val="none"/>
        </w:rPr>
        <w:t xml:space="preserve"> 采购项目的潜在供应商应在</w:t>
      </w:r>
      <w:r>
        <w:rPr>
          <w:rFonts w:hint="eastAsia" w:ascii="宋体" w:hAnsi="宋体"/>
          <w:color w:val="auto"/>
          <w:szCs w:val="21"/>
          <w:highlight w:val="none"/>
          <w:u w:val="single"/>
        </w:rPr>
        <w:t>广西农村信用社官方网站（https://www.gx966888.com）</w:t>
      </w:r>
      <w:r>
        <w:rPr>
          <w:rFonts w:hint="eastAsia" w:ascii="宋体" w:hAnsi="宋体"/>
          <w:color w:val="auto"/>
          <w:szCs w:val="21"/>
          <w:highlight w:val="none"/>
        </w:rPr>
        <w:t>获取竞争性磋商文件，并于</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2023</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6</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8</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00</w:t>
      </w:r>
      <w:r>
        <w:rPr>
          <w:rFonts w:hint="eastAsia" w:ascii="宋体" w:hAnsi="宋体"/>
          <w:bCs/>
          <w:color w:val="auto"/>
          <w:szCs w:val="21"/>
          <w:highlight w:val="none"/>
          <w:u w:val="single"/>
        </w:rPr>
        <w:t>分</w:t>
      </w:r>
      <w:r>
        <w:rPr>
          <w:rFonts w:hint="eastAsia" w:ascii="宋体" w:hAnsi="宋体"/>
          <w:bCs/>
          <w:color w:val="auto"/>
          <w:szCs w:val="21"/>
          <w:highlight w:val="none"/>
        </w:rPr>
        <w:t>（北京时间）前提交响应</w:t>
      </w:r>
      <w:r>
        <w:rPr>
          <w:rFonts w:ascii="宋体" w:hAnsi="宋体"/>
          <w:bCs/>
          <w:color w:val="auto"/>
          <w:szCs w:val="21"/>
          <w:highlight w:val="none"/>
        </w:rPr>
        <w:t>文件</w:t>
      </w:r>
      <w:r>
        <w:rPr>
          <w:rFonts w:hint="eastAsia" w:ascii="宋体" w:hAnsi="宋体"/>
          <w:color w:val="auto"/>
          <w:szCs w:val="21"/>
          <w:highlight w:val="none"/>
        </w:rPr>
        <w:t>。</w:t>
      </w:r>
    </w:p>
    <w:p>
      <w:pPr>
        <w:spacing w:line="360" w:lineRule="auto"/>
        <w:rPr>
          <w:rFonts w:ascii="宋体" w:hAnsi="宋体"/>
          <w:color w:val="auto"/>
          <w:szCs w:val="21"/>
          <w:highlight w:val="none"/>
        </w:rPr>
      </w:pPr>
    </w:p>
    <w:p>
      <w:pPr>
        <w:spacing w:line="360" w:lineRule="auto"/>
        <w:ind w:firstLine="482" w:firstLineChars="200"/>
        <w:rPr>
          <w:rFonts w:hint="eastAsia" w:ascii="黑体" w:hAnsi="黑体" w:eastAsia="黑体"/>
          <w:b/>
          <w:color w:val="auto"/>
          <w:sz w:val="24"/>
          <w:highlight w:val="none"/>
        </w:rPr>
      </w:pPr>
      <w:r>
        <w:rPr>
          <w:rFonts w:hint="eastAsia" w:ascii="黑体" w:hAnsi="黑体" w:eastAsia="黑体"/>
          <w:b/>
          <w:color w:val="auto"/>
          <w:sz w:val="24"/>
          <w:highlight w:val="none"/>
        </w:rPr>
        <w:t>一、项目基本情况</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项目编号（如有）：</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项目名称：采购网络学习平台培训服务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预算金额：人民币50万元（含本数）</w:t>
      </w:r>
    </w:p>
    <w:p>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rPr>
        <w:t>最高限价（如有）：</w:t>
      </w:r>
      <w:r>
        <w:rPr>
          <w:rFonts w:hint="eastAsia" w:ascii="宋体" w:hAnsi="宋体"/>
          <w:color w:val="auto"/>
          <w:szCs w:val="21"/>
          <w:highlight w:val="none"/>
          <w:lang w:val="en-US" w:eastAsia="zh-CN"/>
        </w:rPr>
        <w:t>人民币50万元</w:t>
      </w:r>
    </w:p>
    <w:p>
      <w:pPr>
        <w:spacing w:line="360" w:lineRule="auto"/>
        <w:ind w:firstLine="420" w:firstLineChars="200"/>
        <w:rPr>
          <w:rFonts w:hint="eastAsia" w:ascii="宋体" w:hAnsi="宋体"/>
          <w:i/>
          <w:iCs/>
          <w:color w:val="auto"/>
          <w:szCs w:val="21"/>
          <w:highlight w:val="none"/>
        </w:rPr>
      </w:pPr>
      <w:r>
        <w:rPr>
          <w:rFonts w:hint="eastAsia" w:ascii="宋体" w:hAnsi="宋体"/>
          <w:color w:val="auto"/>
          <w:szCs w:val="21"/>
          <w:highlight w:val="none"/>
        </w:rPr>
        <w:t>采购需求：</w:t>
      </w:r>
      <w:r>
        <w:rPr>
          <w:rFonts w:ascii="宋体" w:hAnsi="宋体"/>
          <w:i/>
          <w:iCs/>
          <w:color w:val="auto"/>
          <w:szCs w:val="21"/>
          <w:highlight w:val="none"/>
        </w:rPr>
        <w:t xml:space="preserve"> </w:t>
      </w:r>
      <w:r>
        <w:rPr>
          <w:rFonts w:hint="eastAsia" w:cs="仿宋_GB2312"/>
          <w:color w:val="auto"/>
          <w:highlight w:val="none"/>
          <w:lang w:val="en-US" w:eastAsia="zh-CN"/>
        </w:rPr>
        <w:t>本次采购拟选择一家网络学习平台服务供应商提供服务，满足广西农村信用社及下辖机构的在线学习、培训、考试、数据统计等工作需求，账号数量26000个，服务期两年。</w:t>
      </w:r>
    </w:p>
    <w:p>
      <w:pPr>
        <w:spacing w:line="360" w:lineRule="auto"/>
        <w:ind w:firstLine="420" w:firstLineChars="200"/>
        <w:rPr>
          <w:rFonts w:hint="eastAsia" w:ascii="宋体" w:hAnsi="宋体"/>
          <w:color w:val="auto"/>
          <w:szCs w:val="21"/>
          <w:highlight w:val="none"/>
          <w:u w:val="single"/>
          <w:lang w:val="en-US" w:eastAsia="zh-CN"/>
        </w:rPr>
      </w:pPr>
      <w:r>
        <w:rPr>
          <w:rFonts w:hint="eastAsia" w:ascii="宋体" w:hAnsi="宋体"/>
          <w:color w:val="auto"/>
          <w:szCs w:val="21"/>
          <w:highlight w:val="none"/>
        </w:rPr>
        <w:t>合同履行期限：</w:t>
      </w:r>
      <w:r>
        <w:rPr>
          <w:rFonts w:hint="eastAsia" w:ascii="宋体" w:hAnsi="宋体"/>
          <w:color w:val="auto"/>
          <w:szCs w:val="21"/>
          <w:highlight w:val="none"/>
          <w:u w:val="single"/>
          <w:lang w:val="en-US" w:eastAsia="zh-CN"/>
        </w:rPr>
        <w:t xml:space="preserve"> 24个月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本项目</w:t>
      </w:r>
      <w:r>
        <w:rPr>
          <w:rFonts w:hint="eastAsia" w:ascii="宋体" w:hAnsi="宋体"/>
          <w:color w:val="auto"/>
          <w:szCs w:val="21"/>
          <w:highlight w:val="none"/>
        </w:rPr>
        <w:sym w:font="Wingdings" w:char="00A8"/>
      </w:r>
      <w:r>
        <w:rPr>
          <w:rFonts w:hint="eastAsia" w:ascii="宋体" w:hAnsi="宋体"/>
          <w:color w:val="auto"/>
          <w:szCs w:val="21"/>
          <w:highlight w:val="none"/>
        </w:rPr>
        <w:t>接受</w:t>
      </w:r>
      <w:r>
        <w:rPr>
          <w:rFonts w:hint="eastAsia" w:ascii="宋体" w:hAnsi="宋体"/>
          <w:color w:val="auto"/>
          <w:szCs w:val="21"/>
          <w:highlight w:val="none"/>
        </w:rPr>
        <w:sym w:font="Wingdings" w:char="00FE"/>
      </w:r>
      <w:r>
        <w:rPr>
          <w:rFonts w:hint="eastAsia" w:ascii="宋体" w:hAnsi="宋体"/>
          <w:color w:val="auto"/>
          <w:szCs w:val="21"/>
          <w:highlight w:val="none"/>
          <w:lang w:eastAsia="zh-CN"/>
        </w:rPr>
        <w:t>不</w:t>
      </w:r>
      <w:r>
        <w:rPr>
          <w:rFonts w:hint="eastAsia" w:ascii="宋体" w:hAnsi="宋体"/>
          <w:color w:val="auto"/>
          <w:szCs w:val="21"/>
          <w:highlight w:val="none"/>
        </w:rPr>
        <w:t>接受联合体</w:t>
      </w:r>
      <w:r>
        <w:rPr>
          <w:rFonts w:hint="eastAsia" w:ascii="宋体" w:hAnsi="宋体"/>
          <w:color w:val="auto"/>
          <w:szCs w:val="21"/>
          <w:highlight w:val="none"/>
          <w:lang w:eastAsia="zh-CN"/>
        </w:rPr>
        <w:t>竞标</w:t>
      </w:r>
      <w:r>
        <w:rPr>
          <w:rFonts w:hint="eastAsia" w:ascii="宋体" w:hAnsi="宋体"/>
          <w:color w:val="auto"/>
          <w:szCs w:val="21"/>
          <w:highlight w:val="none"/>
        </w:rPr>
        <w:t>。</w:t>
      </w:r>
    </w:p>
    <w:p>
      <w:pPr>
        <w:spacing w:line="360" w:lineRule="auto"/>
        <w:ind w:firstLine="482" w:firstLineChars="200"/>
        <w:rPr>
          <w:rFonts w:ascii="黑体" w:hAnsi="黑体" w:eastAsia="黑体"/>
          <w:b/>
          <w:color w:val="auto"/>
          <w:sz w:val="24"/>
          <w:highlight w:val="none"/>
        </w:rPr>
      </w:pPr>
      <w:r>
        <w:rPr>
          <w:rFonts w:hint="eastAsia" w:ascii="黑体" w:hAnsi="黑体" w:eastAsia="黑体"/>
          <w:b/>
          <w:color w:val="auto"/>
          <w:sz w:val="24"/>
          <w:highlight w:val="none"/>
        </w:rPr>
        <w:t>二、合格供应商的资格条件：</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1.须为在中华人民共和国境内依法注册，具有独立承担民事责任的能力和经营许可，具有独立签订合同的权利，具备为本项目提供相关产品及服务能力的法人单位或</w:t>
      </w:r>
      <w:r>
        <w:rPr>
          <w:rFonts w:hint="eastAsia" w:ascii="宋体" w:hAnsi="宋体"/>
          <w:color w:val="auto"/>
          <w:szCs w:val="21"/>
          <w:highlight w:val="none"/>
          <w:lang w:eastAsia="zh-CN"/>
        </w:rPr>
        <w:t>非法人组织</w:t>
      </w: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2.分公司（分所）参与</w:t>
      </w:r>
      <w:r>
        <w:rPr>
          <w:rFonts w:hint="eastAsia" w:ascii="宋体" w:hAnsi="宋体"/>
          <w:color w:val="auto"/>
          <w:szCs w:val="21"/>
          <w:highlight w:val="none"/>
          <w:lang w:eastAsia="zh-CN"/>
        </w:rPr>
        <w:t>竞标</w:t>
      </w:r>
      <w:r>
        <w:rPr>
          <w:rFonts w:hint="eastAsia" w:ascii="宋体" w:hAnsi="宋体"/>
          <w:color w:val="auto"/>
          <w:szCs w:val="21"/>
          <w:highlight w:val="none"/>
        </w:rPr>
        <w:t>的，必须提供总公司（总所）出具的授权书</w:t>
      </w:r>
      <w:r>
        <w:rPr>
          <w:rFonts w:hint="eastAsia" w:ascii="宋体" w:hAnsi="宋体" w:cs="宋体"/>
          <w:color w:val="auto"/>
          <w:kern w:val="0"/>
          <w:szCs w:val="21"/>
          <w:highlight w:val="none"/>
        </w:rPr>
        <w:t>（本</w:t>
      </w:r>
      <w:r>
        <w:rPr>
          <w:rFonts w:hint="eastAsia" w:ascii="宋体" w:hAnsi="宋体" w:cs="宋体"/>
          <w:color w:val="auto"/>
          <w:kern w:val="0"/>
          <w:szCs w:val="21"/>
          <w:highlight w:val="none"/>
          <w:lang w:eastAsia="zh-CN"/>
        </w:rPr>
        <w:t>邀请函</w:t>
      </w:r>
      <w:r>
        <w:rPr>
          <w:rFonts w:hint="eastAsia" w:ascii="宋体" w:hAnsi="宋体" w:cs="宋体"/>
          <w:color w:val="auto"/>
          <w:kern w:val="0"/>
          <w:szCs w:val="21"/>
          <w:highlight w:val="none"/>
        </w:rPr>
        <w:t>所称“竞标”即指竞争性磋商，下同）</w:t>
      </w: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3.具有履行合同所必需的财务实力、专业技术能力和经验，团队主要人员应具有从事反洗钱咨询项目的经验；</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4.遵守国家有关法律、法规，具有良好的商业信誉和健全的财务会计制度；</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5.近三年内，在经营活动中没有重大违法记录和不良信用记录（提供“信用中国”网站（www.creditchina.gov.cn）或中国政府采购网（www.ccgp.gov.cn）信用记录查询结果完整截图并加盖单位公章），或未被国家有关部门</w:t>
      </w:r>
      <w:r>
        <w:rPr>
          <w:rFonts w:hint="eastAsia" w:ascii="宋体" w:hAnsi="宋体"/>
          <w:color w:val="auto"/>
          <w:szCs w:val="21"/>
          <w:highlight w:val="none"/>
          <w:lang w:eastAsia="zh-CN"/>
        </w:rPr>
        <w:t>列</w:t>
      </w:r>
      <w:r>
        <w:rPr>
          <w:rFonts w:hint="eastAsia" w:ascii="宋体" w:hAnsi="宋体"/>
          <w:color w:val="auto"/>
          <w:szCs w:val="21"/>
          <w:highlight w:val="none"/>
        </w:rPr>
        <w:t>入</w:t>
      </w:r>
      <w:r>
        <w:rPr>
          <w:rFonts w:hint="eastAsia" w:ascii="宋体" w:hAnsi="宋体"/>
          <w:color w:val="auto"/>
          <w:szCs w:val="21"/>
          <w:highlight w:val="none"/>
          <w:lang w:eastAsia="zh-CN"/>
        </w:rPr>
        <w:t>严重</w:t>
      </w:r>
      <w:r>
        <w:rPr>
          <w:rFonts w:hint="eastAsia" w:ascii="宋体" w:hAnsi="宋体"/>
          <w:color w:val="auto"/>
          <w:szCs w:val="21"/>
          <w:highlight w:val="none"/>
        </w:rPr>
        <w:t>失信</w:t>
      </w:r>
      <w:r>
        <w:rPr>
          <w:rFonts w:hint="eastAsia" w:ascii="宋体" w:hAnsi="宋体"/>
          <w:color w:val="auto"/>
          <w:szCs w:val="21"/>
          <w:highlight w:val="none"/>
          <w:lang w:eastAsia="zh-CN"/>
        </w:rPr>
        <w:t>主体</w:t>
      </w:r>
      <w:r>
        <w:rPr>
          <w:rFonts w:hint="eastAsia" w:ascii="宋体" w:hAnsi="宋体"/>
          <w:color w:val="auto"/>
          <w:szCs w:val="21"/>
          <w:highlight w:val="none"/>
        </w:rPr>
        <w:t>名单、</w:t>
      </w:r>
      <w:r>
        <w:rPr>
          <w:rFonts w:hint="eastAsia" w:ascii="宋体" w:hAnsi="宋体"/>
          <w:color w:val="auto"/>
          <w:szCs w:val="21"/>
          <w:highlight w:val="none"/>
          <w:lang w:eastAsia="zh-CN"/>
        </w:rPr>
        <w:t>经营异常名录、失信</w:t>
      </w:r>
      <w:r>
        <w:rPr>
          <w:rFonts w:hint="eastAsia" w:ascii="宋体" w:hAnsi="宋体"/>
          <w:color w:val="auto"/>
          <w:szCs w:val="21"/>
          <w:highlight w:val="none"/>
        </w:rPr>
        <w:t>被执行人</w:t>
      </w:r>
      <w:r>
        <w:rPr>
          <w:rFonts w:hint="eastAsia" w:ascii="宋体" w:hAnsi="宋体"/>
          <w:color w:val="auto"/>
          <w:szCs w:val="21"/>
          <w:highlight w:val="none"/>
          <w:lang w:eastAsia="zh-CN"/>
        </w:rPr>
        <w:t>、</w:t>
      </w:r>
      <w:r>
        <w:rPr>
          <w:rFonts w:hint="eastAsia" w:ascii="宋体" w:hAnsi="宋体" w:cs="Times New Roman"/>
          <w:color w:val="auto"/>
          <w:sz w:val="21"/>
          <w:szCs w:val="21"/>
          <w:highlight w:val="none"/>
          <w:lang w:eastAsia="zh-CN"/>
        </w:rPr>
        <w:t>政府采购严重违法失信行为记录名单、拖欠农民工工资失信联合惩戒对象名单、</w:t>
      </w:r>
      <w:r>
        <w:rPr>
          <w:rFonts w:hint="eastAsia" w:ascii="宋体" w:hAnsi="宋体" w:cs="Times New Roman"/>
          <w:color w:val="auto"/>
          <w:sz w:val="21"/>
          <w:szCs w:val="21"/>
          <w:highlight w:val="none"/>
        </w:rPr>
        <w:t>重大税收违法</w:t>
      </w:r>
      <w:r>
        <w:rPr>
          <w:rFonts w:hint="eastAsia" w:ascii="宋体" w:hAnsi="宋体" w:cs="Times New Roman"/>
          <w:color w:val="auto"/>
          <w:sz w:val="21"/>
          <w:szCs w:val="21"/>
          <w:highlight w:val="none"/>
          <w:lang w:eastAsia="zh-CN"/>
        </w:rPr>
        <w:t>失信主体名单、安全生产领域严重失信惩戒名单、统计严重失信企业名单、严重违法超限超载运输失信当事人名单</w:t>
      </w:r>
      <w:r>
        <w:rPr>
          <w:rFonts w:hint="eastAsia" w:ascii="宋体" w:hAnsi="宋体"/>
          <w:color w:val="auto"/>
          <w:szCs w:val="21"/>
          <w:highlight w:val="none"/>
        </w:rPr>
        <w:t>，或未被监管部门处罚导致暂停或终止业务；</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6.须在</w:t>
      </w:r>
      <w:r>
        <w:rPr>
          <w:rFonts w:hint="eastAsia" w:ascii="宋体" w:hAnsi="宋体"/>
          <w:color w:val="auto"/>
          <w:szCs w:val="21"/>
          <w:highlight w:val="none"/>
          <w:lang w:eastAsia="zh-CN"/>
        </w:rPr>
        <w:t>采购人</w:t>
      </w:r>
      <w:r>
        <w:rPr>
          <w:rFonts w:hint="eastAsia" w:ascii="宋体" w:hAnsi="宋体"/>
          <w:color w:val="auto"/>
          <w:szCs w:val="21"/>
          <w:highlight w:val="none"/>
        </w:rPr>
        <w:t>以往采购项目中没有过欺骗、欺诈等不良行为或不良记录，并提供书面承诺；</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供应商不得存在下列情形之一：具有投资控股关系的关联企业，或具有直接管理和被管理关系的母子公司，或同一母公司的子公司，或法定代表人为同一个人的两个及两个以上法人，或某一供应商的高管或高管的亲属为另一供应商的高管等可能会导致其在本次采购活动中行动一致的，如存在以上情形内的任意一种，均不得同时参与本项目投标；</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8.购买了竞争性磋商文件（下文简称为</w:t>
      </w:r>
      <w:r>
        <w:rPr>
          <w:rFonts w:hint="eastAsia" w:ascii="宋体" w:hAnsi="宋体"/>
          <w:color w:val="auto"/>
          <w:szCs w:val="21"/>
          <w:highlight w:val="none"/>
          <w:lang w:eastAsia="zh-CN"/>
        </w:rPr>
        <w:t>“</w:t>
      </w:r>
      <w:r>
        <w:rPr>
          <w:rFonts w:hint="eastAsia" w:ascii="宋体" w:hAnsi="宋体"/>
          <w:color w:val="auto"/>
          <w:szCs w:val="21"/>
          <w:highlight w:val="none"/>
        </w:rPr>
        <w:t>磋商文件</w:t>
      </w:r>
      <w:r>
        <w:rPr>
          <w:rFonts w:hint="eastAsia" w:ascii="宋体" w:hAnsi="宋体"/>
          <w:color w:val="auto"/>
          <w:szCs w:val="21"/>
          <w:highlight w:val="none"/>
          <w:lang w:eastAsia="zh-CN"/>
        </w:rPr>
        <w:t>”</w:t>
      </w:r>
      <w:r>
        <w:rPr>
          <w:rFonts w:hint="eastAsia" w:ascii="宋体" w:hAnsi="宋体"/>
          <w:color w:val="auto"/>
          <w:szCs w:val="21"/>
          <w:highlight w:val="none"/>
        </w:rPr>
        <w:t>）</w:t>
      </w:r>
      <w:r>
        <w:rPr>
          <w:rFonts w:hint="eastAsia" w:ascii="宋体" w:hAnsi="宋体"/>
          <w:color w:val="auto"/>
          <w:szCs w:val="21"/>
          <w:highlight w:val="none"/>
          <w:lang w:eastAsia="zh-CN"/>
        </w:rPr>
        <w:t>；</w:t>
      </w:r>
    </w:p>
    <w:p>
      <w:pPr>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val="en-US" w:eastAsia="zh-CN"/>
        </w:rPr>
        <w:t>9</w:t>
      </w:r>
      <w:r>
        <w:rPr>
          <w:rFonts w:hint="eastAsia" w:ascii="宋体" w:hAnsi="宋体"/>
          <w:color w:val="auto"/>
          <w:szCs w:val="21"/>
          <w:highlight w:val="none"/>
        </w:rPr>
        <w:t>.供应商不得分包和转包</w:t>
      </w:r>
      <w:r>
        <w:rPr>
          <w:rFonts w:hint="eastAsia" w:ascii="宋体" w:hAnsi="宋体"/>
          <w:color w:val="auto"/>
          <w:szCs w:val="21"/>
          <w:highlight w:val="none"/>
          <w:lang w:eastAsia="zh-CN"/>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10.供应商与采购人不存在经济纠纷；</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.符合法律、法规规定的其它要求。</w:t>
      </w:r>
    </w:p>
    <w:p>
      <w:pPr>
        <w:spacing w:line="360" w:lineRule="auto"/>
        <w:ind w:firstLine="482" w:firstLineChars="200"/>
        <w:rPr>
          <w:rFonts w:ascii="黑体" w:hAnsi="黑体" w:eastAsia="黑体"/>
          <w:b/>
          <w:color w:val="auto"/>
          <w:sz w:val="24"/>
          <w:highlight w:val="none"/>
        </w:rPr>
      </w:pPr>
      <w:r>
        <w:rPr>
          <w:rFonts w:hint="eastAsia" w:ascii="黑体" w:hAnsi="黑体" w:eastAsia="黑体"/>
          <w:b/>
          <w:color w:val="auto"/>
          <w:sz w:val="24"/>
          <w:highlight w:val="none"/>
        </w:rPr>
        <w:t>三、获取</w:t>
      </w:r>
      <w:r>
        <w:rPr>
          <w:rFonts w:hint="eastAsia" w:ascii="黑体" w:hAnsi="黑体" w:eastAsia="黑体"/>
          <w:b/>
          <w:color w:val="auto"/>
          <w:sz w:val="24"/>
          <w:highlight w:val="none"/>
          <w:lang w:val="en-US" w:eastAsia="zh-CN"/>
        </w:rPr>
        <w:t>竞争性</w:t>
      </w:r>
      <w:r>
        <w:rPr>
          <w:rFonts w:hint="eastAsia" w:ascii="黑体" w:hAnsi="黑体" w:eastAsia="黑体"/>
          <w:b/>
          <w:color w:val="auto"/>
          <w:sz w:val="24"/>
          <w:highlight w:val="none"/>
        </w:rPr>
        <w:t>磋商文件</w:t>
      </w:r>
    </w:p>
    <w:p>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cs="宋体"/>
          <w:bCs/>
          <w:color w:val="auto"/>
          <w:kern w:val="0"/>
          <w:szCs w:val="21"/>
          <w:highlight w:val="none"/>
          <w:u w:val="single"/>
          <w:lang w:val="en-US" w:eastAsia="zh-CN"/>
        </w:rPr>
        <w:t>2023</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29日</w:t>
      </w:r>
      <w:r>
        <w:rPr>
          <w:rFonts w:hint="eastAsia" w:ascii="宋体" w:hAnsi="宋体" w:cs="宋体"/>
          <w:bCs/>
          <w:color w:val="auto"/>
          <w:kern w:val="0"/>
          <w:szCs w:val="21"/>
          <w:highlight w:val="none"/>
          <w:u w:val="single"/>
        </w:rPr>
        <w:t>至</w:t>
      </w:r>
      <w:r>
        <w:rPr>
          <w:rFonts w:hint="eastAsia" w:ascii="宋体" w:hAnsi="宋体" w:cs="宋体"/>
          <w:bCs/>
          <w:color w:val="auto"/>
          <w:kern w:val="0"/>
          <w:szCs w:val="21"/>
          <w:highlight w:val="none"/>
          <w:u w:val="single"/>
          <w:lang w:val="en-US" w:eastAsia="zh-CN"/>
        </w:rPr>
        <w:t>2023</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6</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8</w:t>
      </w:r>
      <w:r>
        <w:rPr>
          <w:rFonts w:hint="eastAsia" w:ascii="宋体" w:hAnsi="宋体" w:cs="宋体"/>
          <w:bCs/>
          <w:color w:val="auto"/>
          <w:kern w:val="0"/>
          <w:szCs w:val="21"/>
          <w:highlight w:val="none"/>
          <w:u w:val="single"/>
        </w:rPr>
        <w:t>日</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分</w:t>
      </w:r>
      <w:r>
        <w:rPr>
          <w:rFonts w:hint="eastAsia" w:ascii="宋体" w:hAnsi="宋体" w:cs="宋体"/>
          <w:bCs/>
          <w:color w:val="auto"/>
          <w:kern w:val="0"/>
          <w:szCs w:val="21"/>
          <w:highlight w:val="none"/>
          <w:lang w:val="en-US" w:eastAsia="zh-CN"/>
        </w:rPr>
        <w:t>止</w:t>
      </w:r>
      <w:r>
        <w:rPr>
          <w:rFonts w:hint="eastAsia" w:ascii="宋体" w:hAnsi="宋体" w:cs="宋体"/>
          <w:bCs/>
          <w:color w:val="auto"/>
          <w:kern w:val="0"/>
          <w:szCs w:val="21"/>
          <w:highlight w:val="none"/>
        </w:rPr>
        <w:t>（北京时间）</w:t>
      </w:r>
    </w:p>
    <w:p>
      <w:pPr>
        <w:spacing w:line="360" w:lineRule="auto"/>
        <w:ind w:firstLine="420" w:firstLineChars="200"/>
        <w:rPr>
          <w:rFonts w:hint="eastAsia" w:ascii="宋体" w:hAnsi="宋体" w:cs="宋体"/>
          <w:bCs/>
          <w:color w:val="auto"/>
          <w:kern w:val="0"/>
          <w:szCs w:val="21"/>
          <w:highlight w:val="none"/>
          <w:u w:val="single"/>
          <w:lang w:val="en-US" w:eastAsia="zh-CN"/>
        </w:rPr>
      </w:pPr>
      <w:r>
        <w:rPr>
          <w:rFonts w:hint="eastAsia" w:ascii="宋体" w:hAnsi="宋体" w:cs="宋体"/>
          <w:bCs/>
          <w:color w:val="auto"/>
          <w:kern w:val="0"/>
          <w:szCs w:val="21"/>
          <w:highlight w:val="none"/>
        </w:rPr>
        <w:t>地点：</w:t>
      </w:r>
      <w:r>
        <w:rPr>
          <w:rFonts w:hint="eastAsia" w:ascii="宋体" w:hAnsi="宋体" w:cs="宋体"/>
          <w:bCs/>
          <w:color w:val="auto"/>
          <w:kern w:val="0"/>
          <w:szCs w:val="21"/>
          <w:highlight w:val="none"/>
          <w:u w:val="single"/>
          <w:lang w:val="en-US" w:eastAsia="zh-CN"/>
        </w:rPr>
        <w:t>广西农村信用社官方网站（https://www.gx966888.com）</w:t>
      </w:r>
    </w:p>
    <w:p>
      <w:pPr>
        <w:spacing w:line="360" w:lineRule="auto"/>
        <w:ind w:firstLine="420" w:firstLineChars="200"/>
        <w:rPr>
          <w:rFonts w:hint="default" w:ascii="宋体" w:hAnsi="宋体" w:cs="宋体"/>
          <w:bCs/>
          <w:color w:val="auto"/>
          <w:kern w:val="0"/>
          <w:szCs w:val="21"/>
          <w:highlight w:val="none"/>
          <w:u w:val="single"/>
        </w:rPr>
      </w:pPr>
      <w:r>
        <w:rPr>
          <w:rFonts w:hint="eastAsia" w:ascii="宋体" w:hAnsi="宋体" w:cs="宋体"/>
          <w:bCs/>
          <w:color w:val="auto"/>
          <w:kern w:val="0"/>
          <w:szCs w:val="21"/>
          <w:highlight w:val="none"/>
        </w:rPr>
        <w:t>方式：</w:t>
      </w:r>
      <w:r>
        <w:rPr>
          <w:rFonts w:hint="eastAsia" w:ascii="宋体" w:hAnsi="宋体" w:cs="宋体"/>
          <w:bCs/>
          <w:color w:val="auto"/>
          <w:kern w:val="0"/>
          <w:szCs w:val="21"/>
          <w:highlight w:val="none"/>
          <w:u w:val="single"/>
          <w:lang w:val="en-US" w:eastAsia="zh-CN"/>
        </w:rPr>
        <w:t>网站首页“重要公告”之“通知公告”栏目中下载采购文件</w:t>
      </w:r>
    </w:p>
    <w:p>
      <w:pPr>
        <w:spacing w:line="360" w:lineRule="auto"/>
        <w:ind w:firstLine="420" w:firstLineChars="200"/>
        <w:rPr>
          <w:rFonts w:hint="default" w:ascii="宋体" w:hAnsi="宋体" w:cs="宋体"/>
          <w:color w:val="auto"/>
          <w:szCs w:val="21"/>
          <w:highlight w:val="none"/>
          <w:u w:val="single"/>
        </w:rPr>
      </w:pPr>
      <w:r>
        <w:rPr>
          <w:rFonts w:hint="eastAsia" w:ascii="宋体" w:hAnsi="宋体" w:cs="宋体"/>
          <w:bCs/>
          <w:color w:val="auto"/>
          <w:kern w:val="0"/>
          <w:szCs w:val="21"/>
          <w:highlight w:val="none"/>
        </w:rPr>
        <w:t>售价：</w:t>
      </w:r>
      <w:r>
        <w:rPr>
          <w:rFonts w:hint="eastAsia" w:ascii="宋体" w:hAnsi="宋体" w:cs="宋体"/>
          <w:bCs/>
          <w:color w:val="auto"/>
          <w:kern w:val="0"/>
          <w:szCs w:val="21"/>
          <w:highlight w:val="none"/>
          <w:u w:val="single"/>
          <w:lang w:val="en-US" w:eastAsia="zh-CN"/>
        </w:rPr>
        <w:t xml:space="preserve"> 免费获取 </w:t>
      </w:r>
    </w:p>
    <w:p>
      <w:pPr>
        <w:spacing w:line="360" w:lineRule="auto"/>
        <w:ind w:firstLine="482" w:firstLineChars="200"/>
        <w:rPr>
          <w:rFonts w:ascii="黑体" w:hAnsi="黑体" w:eastAsia="黑体"/>
          <w:b/>
          <w:color w:val="auto"/>
          <w:sz w:val="24"/>
          <w:highlight w:val="none"/>
        </w:rPr>
      </w:pPr>
      <w:r>
        <w:rPr>
          <w:rFonts w:hint="eastAsia" w:ascii="黑体" w:hAnsi="黑体" w:eastAsia="黑体"/>
          <w:b/>
          <w:color w:val="auto"/>
          <w:sz w:val="24"/>
          <w:highlight w:val="none"/>
        </w:rPr>
        <w:t>四、响应文件提交</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供应商可自行选择到现场递交响应文件或通过邮寄方式寄送。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现场递交响应文件。供应商应于</w:t>
      </w:r>
      <w:r>
        <w:rPr>
          <w:rFonts w:hint="eastAsia" w:ascii="宋体" w:hAnsi="宋体" w:cs="宋体"/>
          <w:color w:val="auto"/>
          <w:szCs w:val="21"/>
          <w:highlight w:val="none"/>
          <w:u w:val="single"/>
          <w:lang w:val="en-US" w:eastAsia="zh-CN"/>
        </w:rPr>
        <w:t>2023</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分</w:t>
      </w:r>
      <w:r>
        <w:rPr>
          <w:rFonts w:hint="eastAsia" w:ascii="宋体" w:hAnsi="宋体" w:cs="宋体"/>
          <w:color w:val="auto"/>
          <w:szCs w:val="21"/>
          <w:highlight w:val="none"/>
        </w:rPr>
        <w:t>前将响应文件密封送交到</w:t>
      </w:r>
      <w:r>
        <w:rPr>
          <w:rFonts w:hint="eastAsia" w:ascii="宋体" w:hAnsi="宋体" w:cs="宋体"/>
          <w:color w:val="auto"/>
          <w:szCs w:val="21"/>
          <w:highlight w:val="none"/>
          <w:u w:val="single"/>
        </w:rPr>
        <w:t>广西壮族自治区农村信用社联合社60楼6040办公室（广西南宁市民族大道148号）</w:t>
      </w:r>
      <w:r>
        <w:rPr>
          <w:rFonts w:hint="eastAsia" w:ascii="宋体" w:hAnsi="宋体" w:cs="宋体"/>
          <w:color w:val="auto"/>
          <w:szCs w:val="21"/>
          <w:highlight w:val="none"/>
        </w:rPr>
        <w:t>，逾期送达或未密封将予以拒收。</w:t>
      </w:r>
    </w:p>
    <w:p>
      <w:pPr>
        <w:spacing w:line="360" w:lineRule="auto"/>
        <w:ind w:left="14" w:firstLine="399" w:firstLineChars="190"/>
        <w:rPr>
          <w:rFonts w:hint="eastAsia" w:ascii="宋体" w:hAnsi="宋体" w:cs="宋体"/>
          <w:color w:val="auto"/>
          <w:szCs w:val="21"/>
          <w:highlight w:val="none"/>
        </w:rPr>
      </w:pPr>
      <w:r>
        <w:rPr>
          <w:rFonts w:hint="eastAsia" w:ascii="宋体" w:hAnsi="宋体" w:cs="宋体"/>
          <w:color w:val="auto"/>
          <w:szCs w:val="21"/>
          <w:highlight w:val="none"/>
        </w:rPr>
        <w:t>2.采用邮寄方式送达：</w:t>
      </w:r>
    </w:p>
    <w:p>
      <w:pPr>
        <w:spacing w:line="360" w:lineRule="auto"/>
        <w:ind w:left="14" w:firstLine="399" w:firstLineChars="190"/>
        <w:rPr>
          <w:rFonts w:hint="eastAsia" w:ascii="宋体" w:hAnsi="宋体" w:cs="宋体"/>
          <w:color w:val="auto"/>
          <w:szCs w:val="21"/>
          <w:highlight w:val="none"/>
        </w:rPr>
      </w:pPr>
      <w:r>
        <w:rPr>
          <w:rFonts w:hint="eastAsia" w:ascii="宋体" w:hAnsi="宋体" w:cs="宋体"/>
          <w:color w:val="auto"/>
          <w:szCs w:val="21"/>
          <w:highlight w:val="none"/>
        </w:rPr>
        <w:t>（1）响应文件必须在递交响应文件截止时间前送达响应文件邮寄地址，采购</w:t>
      </w:r>
      <w:r>
        <w:rPr>
          <w:rFonts w:hint="eastAsia" w:ascii="宋体" w:hAnsi="宋体" w:cs="宋体"/>
          <w:color w:val="auto"/>
          <w:szCs w:val="21"/>
          <w:highlight w:val="none"/>
          <w:lang w:eastAsia="zh-CN"/>
        </w:rPr>
        <w:t>人</w:t>
      </w:r>
      <w:r>
        <w:rPr>
          <w:rFonts w:hint="eastAsia" w:ascii="宋体" w:hAnsi="宋体" w:cs="宋体"/>
          <w:color w:val="auto"/>
          <w:szCs w:val="21"/>
          <w:highlight w:val="none"/>
        </w:rPr>
        <w:t>工作人员签收邮寄包裹的时间即为投响应文件的送达时间，逾期送达的响应文件无效。逾期送达的，后果由供应商自行承担。</w:t>
      </w:r>
    </w:p>
    <w:p>
      <w:pPr>
        <w:spacing w:line="360" w:lineRule="auto"/>
        <w:ind w:left="14" w:firstLine="399" w:firstLineChars="190"/>
        <w:rPr>
          <w:rFonts w:hint="eastAsia" w:ascii="宋体" w:hAnsi="宋体" w:cs="宋体"/>
          <w:color w:val="auto"/>
          <w:szCs w:val="21"/>
          <w:highlight w:val="none"/>
        </w:rPr>
      </w:pPr>
      <w:r>
        <w:rPr>
          <w:rFonts w:hint="eastAsia" w:ascii="宋体" w:hAnsi="宋体" w:cs="宋体"/>
          <w:color w:val="auto"/>
          <w:szCs w:val="21"/>
          <w:highlight w:val="none"/>
        </w:rPr>
        <w:t>（2）为确保疫情防控期间邮寄包裹能及时送达，供应商应充分预留响应文件邮寄、送达所需要的时间，应选择邮寄运送时间有保障的快递公司寄送响应文件。</w:t>
      </w:r>
    </w:p>
    <w:p>
      <w:pPr>
        <w:spacing w:line="360" w:lineRule="auto"/>
        <w:ind w:left="14" w:firstLine="399" w:firstLineChars="190"/>
        <w:rPr>
          <w:rFonts w:hint="eastAsia" w:ascii="宋体" w:hAnsi="宋体" w:cs="宋体"/>
          <w:color w:val="auto"/>
          <w:szCs w:val="21"/>
          <w:highlight w:val="none"/>
        </w:rPr>
      </w:pPr>
      <w:r>
        <w:rPr>
          <w:rFonts w:hint="eastAsia" w:ascii="宋体" w:hAnsi="宋体" w:cs="宋体"/>
          <w:color w:val="auto"/>
          <w:szCs w:val="21"/>
          <w:highlight w:val="none"/>
        </w:rPr>
        <w:t>（3）供应商按照磋商文件要求装订密封好响应文件后，应使用不透明、防水的邮寄袋或箱子再次包裹已密封的响应文件，并在邮寄袋或箱子上粘牢注明项目名称、项目编号、有效的电子邮箱、联系人及联系方式的纸质表格。</w:t>
      </w:r>
    </w:p>
    <w:tbl>
      <w:tblPr>
        <w:tblStyle w:val="26"/>
        <w:tblW w:w="8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8620" w:type="dxa"/>
            <w:noWrap w:val="0"/>
            <w:vAlign w:val="top"/>
          </w:tcPr>
          <w:p>
            <w:pPr>
              <w:spacing w:line="5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邮件外包粘贴表格（格式）</w:t>
            </w:r>
          </w:p>
          <w:p>
            <w:pPr>
              <w:spacing w:line="5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项目名称：</w:t>
            </w:r>
          </w:p>
          <w:p>
            <w:pPr>
              <w:spacing w:line="5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项目编号：</w:t>
            </w:r>
          </w:p>
          <w:p>
            <w:pPr>
              <w:spacing w:line="5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项目响应文件开启日期：</w:t>
            </w:r>
          </w:p>
          <w:p>
            <w:pPr>
              <w:spacing w:line="50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联系电话：</w:t>
            </w:r>
          </w:p>
          <w:p>
            <w:pPr>
              <w:spacing w:line="500" w:lineRule="exact"/>
              <w:ind w:firstLine="420" w:firstLineChars="200"/>
              <w:jc w:val="left"/>
              <w:rPr>
                <w:rFonts w:ascii="宋体" w:hAnsi="宋体" w:cs="宋体"/>
                <w:bCs/>
                <w:color w:val="auto"/>
                <w:kern w:val="0"/>
                <w:sz w:val="24"/>
                <w:highlight w:val="none"/>
              </w:rPr>
            </w:pPr>
            <w:r>
              <w:rPr>
                <w:rFonts w:hint="eastAsia" w:ascii="宋体" w:hAnsi="宋体" w:cs="宋体"/>
                <w:bCs/>
                <w:color w:val="auto"/>
                <w:kern w:val="0"/>
                <w:szCs w:val="21"/>
                <w:highlight w:val="none"/>
              </w:rPr>
              <w:t>联系电子邮箱：</w:t>
            </w:r>
          </w:p>
        </w:tc>
      </w:tr>
    </w:tbl>
    <w:p>
      <w:pPr>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rPr>
        <w:t>（4）响应文件邮寄地址：</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广西南宁市民族大道148号广西壮族自治区农村信用社联合社60楼6040办公室</w:t>
      </w:r>
    </w:p>
    <w:p>
      <w:pPr>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rPr>
        <w:t>（5）收件人：</w:t>
      </w:r>
      <w:r>
        <w:rPr>
          <w:rFonts w:hint="eastAsia" w:ascii="宋体" w:hAnsi="宋体" w:cs="宋体"/>
          <w:color w:val="auto"/>
          <w:szCs w:val="21"/>
          <w:highlight w:val="none"/>
          <w:u w:val="single"/>
          <w:lang w:val="en-US" w:eastAsia="zh-CN"/>
        </w:rPr>
        <w:t>黄经纬</w:t>
      </w:r>
      <w:r>
        <w:rPr>
          <w:rFonts w:hint="eastAsia" w:ascii="宋体" w:hAnsi="宋体" w:cs="宋体"/>
          <w:color w:val="auto"/>
          <w:szCs w:val="21"/>
          <w:highlight w:val="none"/>
        </w:rPr>
        <w:t>，联系电话：</w:t>
      </w:r>
      <w:r>
        <w:rPr>
          <w:rFonts w:hint="eastAsia" w:ascii="宋体" w:hAnsi="宋体" w:cs="宋体"/>
          <w:color w:val="auto"/>
          <w:szCs w:val="21"/>
          <w:highlight w:val="none"/>
          <w:u w:val="single"/>
          <w:lang w:val="en-US" w:eastAsia="zh-CN"/>
        </w:rPr>
        <w:t>0771-2350335</w:t>
      </w:r>
      <w:r>
        <w:rPr>
          <w:rFonts w:hint="eastAsia" w:ascii="宋体" w:hAnsi="宋体" w:cs="宋体"/>
          <w:color w:val="auto"/>
          <w:szCs w:val="21"/>
          <w:highlight w:val="none"/>
        </w:rPr>
        <w:t xml:space="preserve">          </w:t>
      </w:r>
    </w:p>
    <w:p>
      <w:pPr>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（6）响应文件邮寄接收时间：自磋商文件发布之时起至投标截止时间止的正常工作时间，正常工作时间是指每天8:00-12:00，15:00-18:00，双休日和法定节假日不接收响应文件。</w:t>
      </w:r>
    </w:p>
    <w:p>
      <w:pPr>
        <w:spacing w:line="360" w:lineRule="auto"/>
        <w:ind w:firstLine="482" w:firstLineChars="200"/>
        <w:rPr>
          <w:rFonts w:hint="eastAsia" w:ascii="黑体" w:hAnsi="黑体" w:eastAsia="黑体"/>
          <w:b/>
          <w:color w:val="auto"/>
          <w:sz w:val="24"/>
          <w:highlight w:val="none"/>
        </w:rPr>
      </w:pPr>
      <w:r>
        <w:rPr>
          <w:rFonts w:hint="eastAsia" w:ascii="黑体" w:hAnsi="黑体" w:eastAsia="黑体"/>
          <w:b/>
          <w:color w:val="auto"/>
          <w:sz w:val="24"/>
          <w:highlight w:val="none"/>
        </w:rPr>
        <w:t>五、响应文件开启</w:t>
      </w:r>
    </w:p>
    <w:p>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w:t>
      </w:r>
      <w:r>
        <w:rPr>
          <w:rFonts w:hint="eastAsia" w:ascii="宋体" w:hAnsi="宋体"/>
          <w:color w:val="auto"/>
          <w:szCs w:val="21"/>
          <w:highlight w:val="none"/>
          <w:u w:val="single"/>
          <w:lang w:val="en-US" w:eastAsia="zh-CN"/>
        </w:rPr>
        <w:t>2023</w:t>
      </w:r>
      <w:r>
        <w:rPr>
          <w:rFonts w:hint="eastAsia" w:ascii="宋体" w:hAnsi="宋体"/>
          <w:bCs/>
          <w:color w:val="auto"/>
          <w:szCs w:val="21"/>
          <w:highlight w:val="none"/>
        </w:rPr>
        <w:t>年</w:t>
      </w:r>
      <w:r>
        <w:rPr>
          <w:rFonts w:hint="eastAsia" w:ascii="宋体" w:hAnsi="宋体"/>
          <w:bCs/>
          <w:color w:val="auto"/>
          <w:szCs w:val="21"/>
          <w:highlight w:val="none"/>
          <w:u w:val="single"/>
          <w:lang w:val="en-US" w:eastAsia="zh-CN"/>
        </w:rPr>
        <w:t>6</w:t>
      </w:r>
      <w:r>
        <w:rPr>
          <w:rFonts w:hint="eastAsia" w:ascii="宋体" w:hAnsi="宋体"/>
          <w:bCs/>
          <w:color w:val="auto"/>
          <w:szCs w:val="21"/>
          <w:highlight w:val="none"/>
        </w:rPr>
        <w:t>月</w:t>
      </w:r>
      <w:r>
        <w:rPr>
          <w:rFonts w:hint="eastAsia" w:ascii="宋体" w:hAnsi="宋体"/>
          <w:bCs/>
          <w:color w:val="auto"/>
          <w:szCs w:val="21"/>
          <w:highlight w:val="none"/>
          <w:u w:val="single"/>
          <w:lang w:val="en-US" w:eastAsia="zh-CN"/>
        </w:rPr>
        <w:t>8</w:t>
      </w:r>
      <w:r>
        <w:rPr>
          <w:rFonts w:hint="eastAsia" w:ascii="宋体" w:hAnsi="宋体"/>
          <w:bCs/>
          <w:color w:val="auto"/>
          <w:szCs w:val="21"/>
          <w:highlight w:val="none"/>
        </w:rPr>
        <w:t>日</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rPr>
        <w:t>时</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rPr>
        <w:t>分（北京时间）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w:t>
      </w:r>
      <w:r>
        <w:rPr>
          <w:rFonts w:hint="eastAsia" w:ascii="宋体" w:hAnsi="宋体"/>
          <w:color w:val="auto"/>
          <w:szCs w:val="21"/>
          <w:highlight w:val="none"/>
          <w:u w:val="single"/>
        </w:rPr>
        <w:t>广西壮族自治区农村信用社联合社60楼6040办公室（广西南宁市民族大道148号)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黑体" w:hAnsi="黑体" w:eastAsia="黑体"/>
          <w:b/>
          <w:color w:val="auto"/>
          <w:sz w:val="24"/>
          <w:highlight w:val="none"/>
        </w:rPr>
      </w:pPr>
      <w:r>
        <w:rPr>
          <w:rFonts w:hint="eastAsia" w:ascii="黑体" w:hAnsi="黑体" w:eastAsia="黑体"/>
          <w:b/>
          <w:color w:val="auto"/>
          <w:sz w:val="24"/>
          <w:highlight w:val="none"/>
        </w:rPr>
        <w:t>六、其他补充事宜</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潜在供应商</w:t>
      </w:r>
      <w:r>
        <w:rPr>
          <w:rFonts w:hint="eastAsia" w:ascii="宋体" w:hAnsi="宋体" w:cs="宋体"/>
          <w:color w:val="auto"/>
          <w:kern w:val="0"/>
          <w:szCs w:val="21"/>
          <w:highlight w:val="none"/>
        </w:rPr>
        <w:t>收到本邀请函和竞争性磋商文件（电子版）后，请于</w:t>
      </w:r>
      <w:r>
        <w:rPr>
          <w:rFonts w:hint="eastAsia" w:ascii="宋体" w:hAnsi="宋体" w:cs="宋体"/>
          <w:color w:val="auto"/>
          <w:kern w:val="0"/>
          <w:szCs w:val="21"/>
          <w:highlight w:val="none"/>
          <w:u w:val="single"/>
          <w:lang w:val="en-US" w:eastAsia="zh-CN"/>
        </w:rPr>
        <w:t>2023</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6</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8</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lang w:val="en-US" w:eastAsia="zh-CN"/>
        </w:rPr>
        <w:t>9</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lang w:val="en-US" w:eastAsia="zh-CN"/>
        </w:rPr>
        <w:t>00</w:t>
      </w:r>
      <w:r>
        <w:rPr>
          <w:rFonts w:hint="eastAsia" w:ascii="宋体" w:hAnsi="宋体" w:cs="宋体"/>
          <w:color w:val="auto"/>
          <w:kern w:val="0"/>
          <w:szCs w:val="21"/>
          <w:highlight w:val="none"/>
        </w:rPr>
        <w:t xml:space="preserve">分前予以书面确认（格式后附），在本邀请函规定的时间内未回函或者明确回函表示不参加本项目竞标（本公告所称“竞标”即指竞争性磋商，下同）的，不得再参加竞标。 </w:t>
      </w:r>
    </w:p>
    <w:p>
      <w:pPr>
        <w:spacing w:line="360" w:lineRule="auto"/>
        <w:ind w:firstLine="482" w:firstLineChars="200"/>
        <w:rPr>
          <w:rFonts w:ascii="黑体" w:hAnsi="黑体" w:eastAsia="黑体"/>
          <w:b/>
          <w:color w:val="auto"/>
          <w:sz w:val="24"/>
          <w:highlight w:val="none"/>
        </w:rPr>
      </w:pPr>
      <w:r>
        <w:rPr>
          <w:rFonts w:hint="eastAsia" w:ascii="黑体" w:hAnsi="黑体" w:eastAsia="黑体"/>
          <w:b/>
          <w:color w:val="auto"/>
          <w:sz w:val="24"/>
          <w:highlight w:val="none"/>
        </w:rPr>
        <w:t>七、凡对本次采购提出询问，请按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1.采购人信息</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名    称：</w:t>
      </w:r>
      <w:r>
        <w:rPr>
          <w:rFonts w:hint="eastAsia" w:ascii="宋体" w:hAnsi="宋体" w:cs="宋体"/>
          <w:color w:val="auto"/>
          <w:kern w:val="0"/>
          <w:szCs w:val="21"/>
          <w:highlight w:val="none"/>
          <w:u w:val="single"/>
          <w:lang w:val="en-US" w:eastAsia="zh-CN"/>
        </w:rPr>
        <w:t>广西壮族自治区农村信用社联合社</w:t>
      </w:r>
      <w:r>
        <w:rPr>
          <w:rFonts w:hint="eastAsia" w:ascii="宋体" w:hAnsi="宋体" w:cs="宋体"/>
          <w:color w:val="auto"/>
          <w:kern w:val="0"/>
          <w:szCs w:val="21"/>
          <w:highlight w:val="none"/>
          <w:u w:val="none"/>
        </w:rPr>
        <w:t>　　　　　　　　　　　　</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u w:val="single"/>
          <w:lang w:val="en-US" w:eastAsia="zh-CN"/>
        </w:rPr>
        <w:t>广西南宁市民族大道148号</w:t>
      </w:r>
      <w:r>
        <w:rPr>
          <w:rFonts w:hint="eastAsia" w:ascii="宋体" w:hAnsi="宋体" w:cs="宋体"/>
          <w:color w:val="auto"/>
          <w:kern w:val="0"/>
          <w:szCs w:val="21"/>
          <w:highlight w:val="none"/>
          <w:u w:val="none"/>
        </w:rPr>
        <w:t>　　　　　　　　　　　　</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联系方式：</w:t>
      </w:r>
      <w:r>
        <w:rPr>
          <w:rFonts w:hint="eastAsia" w:ascii="宋体" w:hAnsi="宋体" w:cs="宋体"/>
          <w:color w:val="auto"/>
          <w:kern w:val="0"/>
          <w:szCs w:val="21"/>
          <w:highlight w:val="none"/>
          <w:u w:val="single"/>
          <w:lang w:val="en-US" w:eastAsia="zh-CN"/>
        </w:rPr>
        <w:t>0771-2350335</w:t>
      </w:r>
      <w:r>
        <w:rPr>
          <w:rFonts w:hint="eastAsia" w:ascii="宋体" w:hAnsi="宋体" w:cs="宋体"/>
          <w:color w:val="auto"/>
          <w:kern w:val="0"/>
          <w:szCs w:val="21"/>
          <w:highlight w:val="none"/>
          <w:u w:val="none"/>
        </w:rPr>
        <w:t xml:space="preserve">                     　 </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.项目联系方式</w:t>
      </w:r>
    </w:p>
    <w:p>
      <w:pPr>
        <w:spacing w:line="360" w:lineRule="auto"/>
        <w:ind w:firstLine="420" w:firstLineChars="200"/>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rPr>
        <w:t>项目联系人：</w:t>
      </w:r>
      <w:r>
        <w:rPr>
          <w:rFonts w:hint="eastAsia" w:ascii="宋体" w:hAnsi="宋体" w:cs="宋体"/>
          <w:i w:val="0"/>
          <w:iCs w:val="0"/>
          <w:color w:val="auto"/>
          <w:kern w:val="0"/>
          <w:sz w:val="21"/>
          <w:szCs w:val="21"/>
          <w:highlight w:val="none"/>
          <w:u w:val="single"/>
          <w:lang w:val="en-US" w:eastAsia="zh-CN"/>
        </w:rPr>
        <w:t>黄经纬</w:t>
      </w:r>
    </w:p>
    <w:p>
      <w:pPr>
        <w:spacing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Cs w:val="21"/>
          <w:highlight w:val="none"/>
        </w:rPr>
        <w:t>电　　话：</w:t>
      </w:r>
      <w:r>
        <w:rPr>
          <w:rFonts w:hint="eastAsia" w:ascii="宋体" w:hAnsi="宋体" w:cs="宋体"/>
          <w:color w:val="auto"/>
          <w:kern w:val="0"/>
          <w:szCs w:val="21"/>
          <w:highlight w:val="none"/>
          <w:u w:val="single"/>
        </w:rPr>
        <w:t>0771-2350335</w:t>
      </w:r>
    </w:p>
    <w:p>
      <w:pPr>
        <w:spacing w:line="360" w:lineRule="auto"/>
        <w:ind w:firstLine="630" w:firstLineChars="300"/>
        <w:jc w:val="right"/>
        <w:rPr>
          <w:rFonts w:hint="eastAsia" w:ascii="宋体" w:hAnsi="宋体"/>
          <w:color w:val="auto"/>
          <w:szCs w:val="21"/>
          <w:highlight w:val="none"/>
          <w:u w:val="single"/>
        </w:rPr>
      </w:pPr>
    </w:p>
    <w:p>
      <w:pPr>
        <w:spacing w:line="360" w:lineRule="auto"/>
        <w:ind w:firstLine="630" w:firstLineChars="300"/>
        <w:jc w:val="right"/>
        <w:rPr>
          <w:rFonts w:hint="eastAsia" w:ascii="宋体" w:hAnsi="宋体"/>
          <w:color w:val="auto"/>
          <w:szCs w:val="21"/>
          <w:highlight w:val="none"/>
          <w:u w:val="single"/>
        </w:rPr>
      </w:pPr>
    </w:p>
    <w:p>
      <w:pPr>
        <w:spacing w:line="360" w:lineRule="auto"/>
        <w:ind w:firstLine="630" w:firstLineChars="300"/>
        <w:jc w:val="right"/>
        <w:rPr>
          <w:rFonts w:hint="default" w:ascii="宋体" w:hAnsi="宋体" w:eastAsia="宋体"/>
          <w:color w:val="auto"/>
          <w:szCs w:val="21"/>
          <w:highlight w:val="none"/>
          <w:u w:val="single"/>
          <w:lang w:val="en-US" w:eastAsia="zh-CN"/>
        </w:rPr>
      </w:pPr>
      <w:r>
        <w:rPr>
          <w:rFonts w:hint="eastAsia" w:ascii="宋体" w:hAnsi="宋体"/>
          <w:color w:val="auto"/>
          <w:szCs w:val="21"/>
          <w:highlight w:val="none"/>
          <w:u w:val="single"/>
          <w:lang w:val="en-US" w:eastAsia="zh-CN"/>
        </w:rPr>
        <w:t>广西壮族自治区农村信用社联合社</w:t>
      </w:r>
    </w:p>
    <w:p>
      <w:pPr>
        <w:spacing w:line="360" w:lineRule="auto"/>
        <w:ind w:firstLine="495"/>
        <w:jc w:val="right"/>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none"/>
        </w:rPr>
        <w:t xml:space="preserve">      　年　　月　　日</w:t>
      </w:r>
    </w:p>
    <w:p>
      <w:pPr>
        <w:spacing w:line="360" w:lineRule="auto"/>
        <w:jc w:val="center"/>
        <w:rPr>
          <w:rFonts w:hint="eastAsia" w:ascii="方正小标宋简体" w:eastAsia="方正小标宋简体"/>
          <w:b w:val="0"/>
          <w:bCs/>
          <w:color w:val="auto"/>
          <w:sz w:val="44"/>
          <w:szCs w:val="44"/>
          <w:highlight w:val="none"/>
        </w:rPr>
      </w:pPr>
      <w:r>
        <w:rPr>
          <w:rFonts w:ascii="方正小标宋简体" w:eastAsia="方正小标宋简体"/>
          <w:b/>
          <w:color w:val="auto"/>
          <w:sz w:val="32"/>
          <w:szCs w:val="32"/>
          <w:highlight w:val="none"/>
        </w:rPr>
        <w:br w:type="page"/>
      </w:r>
      <w:r>
        <w:rPr>
          <w:rFonts w:hint="eastAsia" w:ascii="方正小标宋简体" w:hAnsi="Times New Roman" w:eastAsia="方正小标宋简体"/>
          <w:b w:val="0"/>
          <w:bCs/>
          <w:color w:val="auto"/>
          <w:sz w:val="44"/>
          <w:szCs w:val="44"/>
          <w:highlight w:val="none"/>
        </w:rPr>
        <w:t>竞标</w:t>
      </w:r>
      <w:r>
        <w:rPr>
          <w:rFonts w:hint="eastAsia" w:ascii="方正小标宋简体" w:eastAsia="方正小标宋简体"/>
          <w:b w:val="0"/>
          <w:bCs/>
          <w:color w:val="auto"/>
          <w:sz w:val="44"/>
          <w:szCs w:val="44"/>
          <w:highlight w:val="none"/>
        </w:rPr>
        <w:t>确认函</w:t>
      </w:r>
    </w:p>
    <w:p>
      <w:pPr>
        <w:jc w:val="center"/>
        <w:rPr>
          <w:rFonts w:hint="eastAsia" w:ascii="方正小标宋简体" w:eastAsia="方正小标宋简体"/>
          <w:b/>
          <w:color w:val="auto"/>
          <w:sz w:val="32"/>
          <w:szCs w:val="32"/>
          <w:highlight w:val="none"/>
        </w:rPr>
      </w:pPr>
    </w:p>
    <w:p>
      <w:pPr>
        <w:spacing w:line="360" w:lineRule="auto"/>
        <w:rPr>
          <w:rFonts w:hint="eastAsia" w:ascii="宋体" w:hAnsi="宋体"/>
          <w:b/>
          <w:color w:val="auto"/>
          <w:sz w:val="32"/>
          <w:szCs w:val="32"/>
          <w:highlight w:val="none"/>
        </w:rPr>
      </w:pPr>
    </w:p>
    <w:p>
      <w:pPr>
        <w:spacing w:line="360" w:lineRule="auto"/>
        <w:rPr>
          <w:rFonts w:hint="eastAsia" w:ascii="宋体" w:hAnsi="宋体"/>
          <w:b/>
          <w:color w:val="auto"/>
          <w:highlight w:val="none"/>
        </w:rPr>
      </w:pPr>
      <w:r>
        <w:rPr>
          <w:rFonts w:hint="eastAsia" w:ascii="宋体" w:hAnsi="宋体"/>
          <w:b/>
          <w:color w:val="auto"/>
          <w:highlight w:val="none"/>
        </w:rPr>
        <w:t>广西壮族自治区农村信用社联合社：</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我单位于</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日</w:t>
      </w:r>
      <w:r>
        <w:rPr>
          <w:rFonts w:hint="eastAsia" w:ascii="宋体" w:hAnsi="宋体"/>
          <w:color w:val="auto"/>
          <w:highlight w:val="none"/>
        </w:rPr>
        <w:t>收到贵公司以书面形式送达的</w:t>
      </w:r>
      <w:r>
        <w:rPr>
          <w:rFonts w:hint="eastAsia" w:ascii="宋体" w:hAnsi="宋体"/>
          <w:color w:val="auto"/>
          <w:highlight w:val="none"/>
          <w:u w:val="single"/>
        </w:rPr>
        <w:t>项目名称</w:t>
      </w:r>
      <w:r>
        <w:rPr>
          <w:rFonts w:hint="eastAsia" w:ascii="宋体" w:hAnsi="宋体"/>
          <w:color w:val="auto"/>
          <w:highlight w:val="none"/>
          <w:u w:val="single"/>
          <w:lang w:val="en-US" w:eastAsia="zh-CN"/>
        </w:rPr>
        <w:t>[</w:t>
      </w:r>
      <w:r>
        <w:rPr>
          <w:rFonts w:hint="eastAsia" w:ascii="宋体" w:hAnsi="宋体"/>
          <w:color w:val="auto"/>
          <w:highlight w:val="none"/>
          <w:u w:val="single"/>
        </w:rPr>
        <w:t>项目编号</w:t>
      </w:r>
      <w:r>
        <w:rPr>
          <w:rFonts w:hint="eastAsia" w:ascii="宋体" w:hAnsi="宋体"/>
          <w:color w:val="auto"/>
          <w:highlight w:val="none"/>
          <w:u w:val="single"/>
          <w:lang w:eastAsia="zh-CN"/>
        </w:rPr>
        <w:t>（如有）</w:t>
      </w:r>
      <w:r>
        <w:rPr>
          <w:rFonts w:hint="eastAsia" w:ascii="宋体" w:hAnsi="宋体"/>
          <w:color w:val="auto"/>
          <w:highlight w:val="none"/>
          <w:u w:val="single"/>
          <w:lang w:val="en-US" w:eastAsia="zh-CN"/>
        </w:rPr>
        <w:t>]竞标</w:t>
      </w:r>
      <w:r>
        <w:rPr>
          <w:rFonts w:hint="eastAsia" w:ascii="宋体" w:hAnsi="宋体"/>
          <w:color w:val="auto"/>
          <w:highlight w:val="none"/>
        </w:rPr>
        <w:t>邀请函和竞争性磋商文件（电子版），经慎重考虑，我单位确认（□参加/□不参加）本项目的竞争性磋商活动。</w:t>
      </w:r>
    </w:p>
    <w:p>
      <w:pPr>
        <w:spacing w:line="360" w:lineRule="auto"/>
        <w:ind w:left="360"/>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ind w:left="360"/>
        <w:rPr>
          <w:rFonts w:hint="eastAsia" w:ascii="宋体" w:hAnsi="宋体"/>
          <w:color w:val="auto"/>
          <w:highlight w:val="none"/>
        </w:rPr>
      </w:pPr>
      <w:r>
        <w:rPr>
          <w:rFonts w:hint="eastAsia" w:ascii="宋体" w:hAnsi="宋体"/>
          <w:color w:val="auto"/>
          <w:highlight w:val="none"/>
        </w:rPr>
        <w:t>联系人：</w:t>
      </w:r>
    </w:p>
    <w:p>
      <w:pPr>
        <w:spacing w:line="360" w:lineRule="auto"/>
        <w:ind w:left="360"/>
        <w:rPr>
          <w:rFonts w:hint="eastAsia" w:ascii="宋体" w:hAnsi="宋体"/>
          <w:color w:val="auto"/>
          <w:highlight w:val="none"/>
        </w:rPr>
      </w:pPr>
      <w:r>
        <w:rPr>
          <w:rFonts w:hint="eastAsia" w:ascii="宋体" w:hAnsi="宋体"/>
          <w:color w:val="auto"/>
          <w:highlight w:val="none"/>
        </w:rPr>
        <w:t>联系电话：</w:t>
      </w:r>
    </w:p>
    <w:p>
      <w:pPr>
        <w:spacing w:line="360" w:lineRule="auto"/>
        <w:ind w:left="360"/>
        <w:rPr>
          <w:rFonts w:hint="eastAsia" w:ascii="宋体" w:hAnsi="宋体"/>
          <w:color w:val="auto"/>
          <w:highlight w:val="none"/>
        </w:rPr>
      </w:pPr>
      <w:r>
        <w:rPr>
          <w:rFonts w:hint="eastAsia" w:ascii="宋体" w:hAnsi="宋体"/>
          <w:color w:val="auto"/>
          <w:highlight w:val="none"/>
        </w:rPr>
        <w:t>电子邮箱：</w:t>
      </w:r>
    </w:p>
    <w:p>
      <w:pPr>
        <w:spacing w:line="360" w:lineRule="auto"/>
        <w:rPr>
          <w:rFonts w:hint="eastAsia" w:ascii="宋体" w:hAnsi="宋体"/>
          <w:color w:val="auto"/>
          <w:highlight w:val="none"/>
        </w:rPr>
      </w:pPr>
    </w:p>
    <w:p>
      <w:pPr>
        <w:pStyle w:val="2"/>
        <w:rPr>
          <w:rFonts w:hint="eastAsia" w:ascii="宋体" w:hAnsi="宋体"/>
          <w:color w:val="auto"/>
          <w:highlight w:val="none"/>
        </w:rPr>
      </w:pPr>
    </w:p>
    <w:p>
      <w:pPr>
        <w:pStyle w:val="2"/>
        <w:rPr>
          <w:rFonts w:hint="eastAsia" w:ascii="宋体" w:hAnsi="宋体"/>
          <w:color w:val="auto"/>
          <w:highlight w:val="none"/>
        </w:rPr>
      </w:pPr>
    </w:p>
    <w:p>
      <w:pPr>
        <w:pStyle w:val="2"/>
        <w:rPr>
          <w:rFonts w:hint="eastAsia" w:ascii="宋体" w:hAnsi="宋体"/>
          <w:color w:val="auto"/>
          <w:highlight w:val="none"/>
        </w:rPr>
      </w:pPr>
    </w:p>
    <w:p>
      <w:pPr>
        <w:spacing w:line="360" w:lineRule="auto"/>
        <w:contextualSpacing/>
        <w:rPr>
          <w:rFonts w:hint="eastAsia" w:ascii="宋体" w:hAnsi="宋体"/>
          <w:color w:val="auto"/>
          <w:highlight w:val="none"/>
        </w:rPr>
      </w:pPr>
    </w:p>
    <w:p>
      <w:pPr>
        <w:spacing w:line="360" w:lineRule="auto"/>
        <w:ind w:left="359" w:leftChars="171" w:firstLine="2205" w:firstLineChars="1050"/>
        <w:contextualSpacing/>
        <w:jc w:val="center"/>
        <w:rPr>
          <w:rFonts w:hint="eastAsia" w:ascii="宋体" w:hAnsi="宋体"/>
          <w:color w:val="auto"/>
          <w:highlight w:val="none"/>
          <w:u w:val="none"/>
        </w:rPr>
      </w:pPr>
      <w:r>
        <w:rPr>
          <w:rFonts w:hint="eastAsia" w:ascii="宋体" w:hAnsi="宋体"/>
          <w:color w:val="auto"/>
          <w:highlight w:val="none"/>
        </w:rPr>
        <w:t>供应商（盖章</w:t>
      </w:r>
      <w:r>
        <w:rPr>
          <w:rFonts w:hint="eastAsia" w:ascii="宋体" w:hAnsi="宋体"/>
          <w:color w:val="auto"/>
          <w:highlight w:val="none"/>
          <w:u w:val="none"/>
          <w:lang w:val="en-US" w:eastAsia="zh-CN"/>
        </w:rPr>
        <w:t>/签名</w:t>
      </w:r>
      <w:r>
        <w:rPr>
          <w:rFonts w:hint="eastAsia" w:ascii="宋体" w:hAnsi="宋体"/>
          <w:color w:val="auto"/>
          <w:highlight w:val="none"/>
        </w:rPr>
        <w:t>）：</w:t>
      </w:r>
      <w:r>
        <w:rPr>
          <w:rFonts w:hint="eastAsia" w:ascii="宋体" w:hAnsi="宋体"/>
          <w:color w:val="auto"/>
          <w:highlight w:val="none"/>
          <w:u w:val="none"/>
        </w:rPr>
        <w:t xml:space="preserve">      </w:t>
      </w:r>
    </w:p>
    <w:p>
      <w:pPr>
        <w:spacing w:line="360" w:lineRule="auto"/>
        <w:ind w:firstLine="495"/>
        <w:jc w:val="right"/>
        <w:rPr>
          <w:color w:val="auto"/>
          <w:highlight w:val="none"/>
        </w:rPr>
      </w:pPr>
      <w:r>
        <w:rPr>
          <w:color w:val="auto"/>
          <w:highlight w:val="none"/>
        </w:rPr>
        <w:t xml:space="preserve">   </w:t>
      </w:r>
    </w:p>
    <w:p>
      <w:pPr>
        <w:spacing w:line="360" w:lineRule="auto"/>
        <w:ind w:firstLine="495"/>
        <w:jc w:val="right"/>
        <w:rPr>
          <w:color w:val="auto"/>
          <w:highlight w:val="none"/>
        </w:rPr>
      </w:pPr>
    </w:p>
    <w:p>
      <w:pPr>
        <w:spacing w:line="360" w:lineRule="auto"/>
        <w:rPr>
          <w:rFonts w:hint="eastAsia" w:ascii="宋体" w:hAnsi="宋体" w:cs="宋体"/>
          <w:color w:val="auto"/>
          <w:szCs w:val="21"/>
          <w:highlight w:val="none"/>
        </w:rPr>
        <w:sectPr>
          <w:footerReference r:id="rId10" w:type="first"/>
          <w:footerReference r:id="rId9" w:type="default"/>
          <w:pgSz w:w="11906" w:h="16838"/>
          <w:pgMar w:top="1440" w:right="1401" w:bottom="1440" w:left="1685" w:header="851" w:footer="992" w:gutter="0"/>
          <w:cols w:space="720" w:num="1"/>
          <w:titlePg/>
          <w:docGrid w:type="lines" w:linePitch="312" w:charSpace="0"/>
        </w:sectPr>
      </w:pPr>
      <w:r>
        <w:rPr>
          <w:rFonts w:hint="eastAsia"/>
          <w:color w:val="auto"/>
          <w:highlight w:val="none"/>
          <w:lang w:val="en-US" w:eastAsia="zh-CN"/>
        </w:rPr>
        <w:t xml:space="preserve">                                                                      </w:t>
      </w:r>
      <w:r>
        <w:rPr>
          <w:color w:val="auto"/>
          <w:highlight w:val="none"/>
        </w:rPr>
        <w:t xml:space="preserve"> </w:t>
      </w:r>
      <w:r>
        <w:rPr>
          <w:rFonts w:hint="eastAsia"/>
          <w:color w:val="auto"/>
          <w:highlight w:val="none"/>
          <w:lang w:val="en-US" w:eastAsia="zh-CN"/>
        </w:rPr>
        <w:t xml:space="preserve">   </w:t>
      </w:r>
      <w:r>
        <w:rPr>
          <w:rFonts w:hint="eastAsia"/>
          <w:color w:val="auto"/>
          <w:highlight w:val="none"/>
        </w:rPr>
        <w:t>年  月  日</w:t>
      </w:r>
      <w:bookmarkStart w:id="9" w:name="_Toc44229890"/>
      <w:bookmarkStart w:id="10" w:name="_Toc71365916"/>
    </w:p>
    <w:bookmarkEnd w:id="9"/>
    <w:bookmarkEnd w:id="10"/>
    <w:p>
      <w:pPr>
        <w:pStyle w:val="3"/>
        <w:spacing w:before="340" w:beforeLines="0" w:after="330" w:afterLines="0" w:line="579" w:lineRule="auto"/>
        <w:jc w:val="center"/>
        <w:rPr>
          <w:rFonts w:hint="eastAsia"/>
          <w:color w:val="auto"/>
          <w:highlight w:val="none"/>
        </w:rPr>
      </w:pPr>
      <w:bookmarkStart w:id="11" w:name="_Toc28246"/>
      <w:bookmarkStart w:id="12" w:name="_Toc74323457"/>
      <w:bookmarkStart w:id="13" w:name="_Toc4316_WPSOffice_Level1"/>
      <w:bookmarkStart w:id="14" w:name="_Toc15830_WPSOffice_Level1"/>
      <w:r>
        <w:rPr>
          <w:rFonts w:hint="eastAsia"/>
          <w:color w:val="auto"/>
          <w:highlight w:val="none"/>
        </w:rPr>
        <w:t>第二章 供应商须知</w:t>
      </w:r>
      <w:bookmarkEnd w:id="11"/>
      <w:bookmarkEnd w:id="12"/>
      <w:bookmarkEnd w:id="13"/>
      <w:bookmarkEnd w:id="14"/>
    </w:p>
    <w:p>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供应商须知前附表</w:t>
      </w:r>
    </w:p>
    <w:p>
      <w:pPr>
        <w:spacing w:line="400" w:lineRule="exact"/>
        <w:jc w:val="center"/>
        <w:rPr>
          <w:rFonts w:hint="eastAsia" w:ascii="宋体" w:hAnsi="宋体"/>
          <w:b/>
          <w:color w:val="auto"/>
          <w:sz w:val="32"/>
          <w:szCs w:val="32"/>
          <w:highlight w:val="none"/>
        </w:rPr>
      </w:pPr>
    </w:p>
    <w:tbl>
      <w:tblPr>
        <w:tblStyle w:val="26"/>
        <w:tblW w:w="890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noWrap w:val="0"/>
            <w:vAlign w:val="top"/>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7912" w:type="dxa"/>
            <w:noWrap w:val="0"/>
            <w:vAlign w:val="top"/>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912" w:type="dxa"/>
            <w:noWrap w:val="0"/>
            <w:vAlign w:val="center"/>
          </w:tcPr>
          <w:p>
            <w:pPr>
              <w:spacing w:line="360" w:lineRule="auto"/>
              <w:rPr>
                <w:rFonts w:hint="eastAsia" w:ascii="宋体" w:hAnsi="宋体" w:cs="宋体"/>
                <w:color w:val="auto"/>
                <w:szCs w:val="21"/>
                <w:highlight w:val="none"/>
              </w:rPr>
            </w:pP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r>
              <w:rPr>
                <w:rFonts w:hint="eastAsia" w:ascii="宋体" w:hAnsi="宋体"/>
                <w:color w:val="auto"/>
                <w:szCs w:val="21"/>
                <w:highlight w:val="none"/>
              </w:rPr>
              <w:t>或者邀请函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7912"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是否接受联合体竞标: 详见竞争性磋商公告</w:t>
            </w:r>
            <w:r>
              <w:rPr>
                <w:rFonts w:hint="eastAsia" w:ascii="宋体" w:hAnsi="宋体"/>
                <w:color w:val="auto"/>
                <w:szCs w:val="21"/>
                <w:highlight w:val="none"/>
              </w:rPr>
              <w:t>或者邀请函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7912" w:type="dxa"/>
            <w:noWrap w:val="0"/>
            <w:vAlign w:val="center"/>
          </w:tcPr>
          <w:p>
            <w:pPr>
              <w:pStyle w:val="9"/>
              <w:spacing w:line="360" w:lineRule="auto"/>
              <w:rPr>
                <w:rFonts w:hint="eastAsia" w:ascii="宋体" w:hAnsi="宋体"/>
                <w:color w:val="auto"/>
                <w:szCs w:val="21"/>
                <w:highlight w:val="none"/>
              </w:rPr>
            </w:pPr>
            <w:r>
              <w:rPr>
                <w:rFonts w:hint="eastAsia" w:ascii="宋体" w:hAnsi="宋体"/>
                <w:color w:val="auto"/>
                <w:szCs w:val="21"/>
                <w:highlight w:val="none"/>
              </w:rPr>
              <w:sym w:font="Wingdings" w:char="00FE"/>
            </w:r>
            <w:r>
              <w:rPr>
                <w:rFonts w:hint="eastAsia" w:ascii="宋体" w:hAnsi="宋体"/>
                <w:color w:val="auto"/>
                <w:szCs w:val="21"/>
                <w:highlight w:val="none"/>
              </w:rPr>
              <w:t>不允许分包</w:t>
            </w:r>
          </w:p>
          <w:p>
            <w:pPr>
              <w:pStyle w:val="9"/>
              <w:spacing w:line="360" w:lineRule="auto"/>
              <w:rPr>
                <w:rFonts w:hint="eastAsia" w:ascii="宋体" w:hAnsi="宋体"/>
                <w:color w:val="auto"/>
                <w:szCs w:val="21"/>
                <w:highlight w:val="none"/>
              </w:rPr>
            </w:pPr>
            <w:r>
              <w:rPr>
                <w:rFonts w:hint="eastAsia" w:ascii="宋体" w:hAnsi="宋体"/>
                <w:color w:val="auto"/>
                <w:szCs w:val="21"/>
                <w:highlight w:val="none"/>
              </w:rPr>
              <w:t>□允许分包</w:t>
            </w:r>
          </w:p>
          <w:p>
            <w:pPr>
              <w:pStyle w:val="9"/>
              <w:spacing w:line="360" w:lineRule="auto"/>
              <w:rPr>
                <w:rFonts w:hint="eastAsia" w:ascii="宋体" w:hAnsi="宋体"/>
                <w:color w:val="auto"/>
                <w:szCs w:val="21"/>
                <w:highlight w:val="none"/>
                <w:u w:val="single"/>
              </w:rPr>
            </w:pPr>
            <w:r>
              <w:rPr>
                <w:rFonts w:hint="eastAsia" w:ascii="宋体" w:hAnsi="宋体"/>
                <w:color w:val="auto"/>
                <w:szCs w:val="21"/>
                <w:highlight w:val="none"/>
              </w:rPr>
              <w:t>分包内容：</w:t>
            </w:r>
            <w:r>
              <w:rPr>
                <w:rFonts w:hint="eastAsia" w:ascii="宋体" w:hAnsi="宋体"/>
                <w:color w:val="auto"/>
                <w:szCs w:val="21"/>
                <w:highlight w:val="none"/>
                <w:u w:val="single"/>
              </w:rPr>
              <w:t xml:space="preserve">                                     。</w:t>
            </w:r>
          </w:p>
          <w:p>
            <w:pPr>
              <w:pStyle w:val="9"/>
              <w:spacing w:line="360" w:lineRule="auto"/>
              <w:rPr>
                <w:rFonts w:hint="eastAsia" w:ascii="宋体" w:hAnsi="宋体"/>
                <w:color w:val="auto"/>
                <w:szCs w:val="21"/>
                <w:highlight w:val="none"/>
                <w:u w:val="single"/>
              </w:rPr>
            </w:pPr>
            <w:r>
              <w:rPr>
                <w:rFonts w:hint="eastAsia" w:ascii="宋体" w:hAnsi="宋体"/>
                <w:color w:val="auto"/>
                <w:szCs w:val="21"/>
                <w:highlight w:val="none"/>
              </w:rPr>
              <w:t>分包金额或者比例：</w:t>
            </w:r>
            <w:r>
              <w:rPr>
                <w:rFonts w:hint="eastAsia" w:ascii="宋体" w:hAnsi="宋体"/>
                <w:color w:val="auto"/>
                <w:szCs w:val="21"/>
                <w:highlight w:val="none"/>
                <w:u w:val="single"/>
              </w:rPr>
              <w:t xml:space="preserve">                                     。</w:t>
            </w:r>
          </w:p>
          <w:p>
            <w:pPr>
              <w:pStyle w:val="9"/>
              <w:spacing w:line="360" w:lineRule="auto"/>
              <w:rPr>
                <w:rFonts w:hint="eastAsia" w:ascii="宋体" w:hAnsi="宋体"/>
                <w:color w:val="auto"/>
                <w:szCs w:val="21"/>
                <w:highlight w:val="none"/>
                <w:u w:val="single"/>
              </w:rPr>
            </w:pPr>
            <w:r>
              <w:rPr>
                <w:rFonts w:hint="eastAsia" w:ascii="宋体" w:hAnsi="宋体"/>
                <w:color w:val="auto"/>
                <w:szCs w:val="21"/>
                <w:highlight w:val="none"/>
              </w:rPr>
              <w:t>分包供应商必须具备的资质：</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noWrap w:val="0"/>
            <w:vAlign w:val="center"/>
          </w:tcPr>
          <w:p>
            <w:pPr>
              <w:pStyle w:val="9"/>
              <w:ind w:firstLine="0" w:firstLineChars="0"/>
              <w:rPr>
                <w:rFonts w:hint="eastAsia" w:ascii="宋体" w:hAnsi="宋体" w:cs="宋体"/>
                <w:b/>
                <w:color w:val="auto"/>
                <w:szCs w:val="21"/>
                <w:highlight w:val="none"/>
              </w:rPr>
            </w:pPr>
            <w:r>
              <w:rPr>
                <w:rFonts w:hint="eastAsia" w:ascii="宋体" w:hAnsi="宋体" w:cs="宋体"/>
                <w:b/>
                <w:color w:val="auto"/>
                <w:szCs w:val="21"/>
                <w:highlight w:val="none"/>
              </w:rPr>
              <w:t>资格证明文件</w:t>
            </w:r>
            <w:r>
              <w:rPr>
                <w:rFonts w:hint="eastAsia" w:ascii="宋体" w:hAnsi="宋体" w:cs="Courier New"/>
                <w:b/>
                <w:i/>
                <w:color w:val="auto"/>
                <w:szCs w:val="21"/>
                <w:highlight w:val="none"/>
              </w:rPr>
              <w:t>（下列内容仅供参考，由项目人员根据项目情况自行编制）</w:t>
            </w:r>
          </w:p>
          <w:p>
            <w:pPr>
              <w:pStyle w:val="9"/>
              <w:spacing w:line="360" w:lineRule="auto"/>
              <w:ind w:firstLine="0" w:firstLineChars="0"/>
              <w:rPr>
                <w:rFonts w:hint="eastAsia" w:ascii="宋体" w:hAnsi="宋体"/>
                <w:color w:val="auto"/>
                <w:szCs w:val="21"/>
                <w:highlight w:val="none"/>
              </w:rPr>
            </w:pPr>
            <w:r>
              <w:rPr>
                <w:rFonts w:hint="eastAsia" w:ascii="宋体" w:hAnsi="宋体" w:cs="宋体"/>
                <w:color w:val="auto"/>
                <w:szCs w:val="21"/>
                <w:highlight w:val="none"/>
              </w:rPr>
              <w:t>1. 供应商为法人或者</w:t>
            </w:r>
            <w:r>
              <w:rPr>
                <w:rFonts w:hint="eastAsia" w:ascii="宋体" w:hAnsi="宋体" w:cs="宋体"/>
                <w:color w:val="auto"/>
                <w:szCs w:val="21"/>
                <w:highlight w:val="none"/>
                <w:lang w:eastAsia="zh-CN"/>
              </w:rPr>
              <w:t>非法人组织</w:t>
            </w:r>
            <w:r>
              <w:rPr>
                <w:rFonts w:hint="eastAsia" w:ascii="宋体" w:hAnsi="宋体" w:cs="宋体"/>
                <w:color w:val="auto"/>
                <w:szCs w:val="21"/>
                <w:highlight w:val="none"/>
              </w:rPr>
              <w:t>的，</w:t>
            </w:r>
            <w:r>
              <w:rPr>
                <w:rFonts w:hint="eastAsia" w:ascii="宋体" w:hAnsi="宋体"/>
                <w:color w:val="auto"/>
                <w:szCs w:val="21"/>
                <w:highlight w:val="none"/>
              </w:rPr>
              <w:t>证明文件为其营业执照复印件（如营业执照或者事业单位法人证书或者执业许可证等）；供应商为自然人的，证明文件为其身份证复印件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pStyle w:val="9"/>
              <w:spacing w:line="360" w:lineRule="auto"/>
              <w:ind w:firstLine="0" w:firstLineChars="0"/>
              <w:contextualSpacing/>
              <w:rPr>
                <w:rFonts w:hint="eastAsia" w:ascii="宋体" w:hAnsi="宋体" w:cs="宋体"/>
                <w:color w:val="auto"/>
                <w:szCs w:val="21"/>
                <w:highlight w:val="none"/>
              </w:rPr>
            </w:pPr>
            <w:r>
              <w:rPr>
                <w:rFonts w:hint="eastAsia" w:ascii="宋体" w:hAnsi="宋体" w:cs="宋体"/>
                <w:color w:val="auto"/>
                <w:szCs w:val="21"/>
                <w:highlight w:val="none"/>
              </w:rPr>
              <w:t>2. 供应商依法缴纳税收的相关材料（</w:t>
            </w:r>
            <w:r>
              <w:rPr>
                <w:rFonts w:hint="eastAsia" w:ascii="宋体" w:hAnsi="宋体" w:cs="宋体"/>
                <w:color w:val="auto"/>
                <w:szCs w:val="21"/>
                <w:highlight w:val="none"/>
                <w:u w:val="single"/>
                <w:lang w:val="en-US" w:eastAsia="zh-CN"/>
              </w:rPr>
              <w:t>2022</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月至</w:t>
            </w:r>
            <w:r>
              <w:rPr>
                <w:rFonts w:hint="eastAsia" w:ascii="宋体" w:hAnsi="宋体" w:cs="宋体"/>
                <w:color w:val="auto"/>
                <w:szCs w:val="21"/>
                <w:highlight w:val="none"/>
                <w:u w:val="single"/>
                <w:lang w:val="en-US" w:eastAsia="zh-CN"/>
              </w:rPr>
              <w:t>2023</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月内连续</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rPr>
              <w:t>个月的依法缴纳税收的凭据复印件；</w:t>
            </w:r>
            <w:r>
              <w:rPr>
                <w:rFonts w:hint="eastAsia"/>
                <w:color w:val="auto"/>
                <w:highlight w:val="none"/>
              </w:rPr>
              <w:t>依法免税的，必须提供相应文件证明其依法免税。</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的依法缴纳税收</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pStyle w:val="9"/>
              <w:spacing w:line="360" w:lineRule="auto"/>
              <w:ind w:firstLine="0" w:firstLineChars="0"/>
              <w:contextualSpacing/>
              <w:rPr>
                <w:rFonts w:hint="eastAsia" w:ascii="宋体" w:hAnsi="宋体" w:cs="宋体"/>
                <w:color w:val="auto"/>
                <w:szCs w:val="21"/>
                <w:highlight w:val="none"/>
              </w:rPr>
            </w:pPr>
            <w:r>
              <w:rPr>
                <w:rFonts w:hint="eastAsia" w:ascii="宋体" w:hAnsi="宋体" w:cs="宋体"/>
                <w:color w:val="auto"/>
                <w:szCs w:val="21"/>
                <w:highlight w:val="none"/>
              </w:rPr>
              <w:t>3. 供应商依法缴纳社会保障资金的相关材料[</w:t>
            </w:r>
            <w:r>
              <w:rPr>
                <w:rFonts w:hint="eastAsia" w:ascii="宋体" w:hAnsi="宋体" w:cs="宋体"/>
                <w:color w:val="auto"/>
                <w:szCs w:val="21"/>
                <w:highlight w:val="none"/>
                <w:u w:val="single"/>
                <w:lang w:val="en-US" w:eastAsia="zh-CN"/>
              </w:rPr>
              <w:t>2022</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月至</w:t>
            </w:r>
            <w:r>
              <w:rPr>
                <w:rFonts w:hint="eastAsia" w:ascii="宋体" w:hAnsi="宋体" w:cs="宋体"/>
                <w:color w:val="auto"/>
                <w:szCs w:val="21"/>
                <w:highlight w:val="none"/>
                <w:u w:val="single"/>
                <w:lang w:val="en-US" w:eastAsia="zh-CN"/>
              </w:rPr>
              <w:t>2023</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月内连续</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个月的依法缴纳社会保障资金的缴费凭证（专用收据或者社会保险缴纳清单）复印件；</w:t>
            </w:r>
            <w:r>
              <w:rPr>
                <w:rFonts w:hint="eastAsia"/>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的依法缴纳社会保障资金的</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pStyle w:val="9"/>
              <w:spacing w:line="360" w:lineRule="auto"/>
              <w:ind w:firstLine="0" w:firstLineChars="0"/>
              <w:contextualSpacing/>
              <w:rPr>
                <w:rFonts w:hint="eastAsia" w:ascii="宋体" w:hAnsi="宋体" w:cs="宋体"/>
                <w:b/>
                <w:color w:val="auto"/>
                <w:szCs w:val="21"/>
                <w:highlight w:val="none"/>
              </w:rPr>
            </w:pPr>
            <w:r>
              <w:rPr>
                <w:rFonts w:hint="eastAsia" w:ascii="宋体" w:hAnsi="宋体" w:cs="宋体"/>
                <w:color w:val="auto"/>
                <w:szCs w:val="21"/>
                <w:highlight w:val="none"/>
              </w:rPr>
              <w:t>4. 供应商</w:t>
            </w:r>
            <w:r>
              <w:rPr>
                <w:rFonts w:hint="eastAsia"/>
                <w:color w:val="auto"/>
                <w:szCs w:val="21"/>
                <w:highlight w:val="none"/>
              </w:rPr>
              <w:t>财务会计报告（</w:t>
            </w:r>
            <w:r>
              <w:rPr>
                <w:rFonts w:hint="eastAsia"/>
                <w:color w:val="auto"/>
                <w:szCs w:val="21"/>
                <w:highlight w:val="none"/>
                <w:u w:val="single"/>
              </w:rPr>
              <w:t xml:space="preserve"> </w:t>
            </w:r>
            <w:r>
              <w:rPr>
                <w:rFonts w:hint="eastAsia"/>
                <w:color w:val="auto"/>
                <w:szCs w:val="21"/>
                <w:highlight w:val="none"/>
                <w:u w:val="single"/>
                <w:lang w:val="en-US" w:eastAsia="zh-CN"/>
              </w:rPr>
              <w:t>2022</w:t>
            </w:r>
            <w:r>
              <w:rPr>
                <w:rFonts w:hint="eastAsia"/>
                <w:color w:val="auto"/>
                <w:szCs w:val="21"/>
                <w:highlight w:val="none"/>
              </w:rPr>
              <w:t>年度财务报表复印件或者银行出具的资信证明；供应商属于</w:t>
            </w:r>
            <w:r>
              <w:rPr>
                <w:rFonts w:hint="eastAsia"/>
                <w:color w:val="auto"/>
                <w:highlight w:val="none"/>
              </w:rPr>
              <w:t>成立</w:t>
            </w:r>
            <w:r>
              <w:rPr>
                <w:color w:val="auto"/>
                <w:highlight w:val="none"/>
              </w:rPr>
              <w:t>时间</w:t>
            </w:r>
            <w:r>
              <w:rPr>
                <w:rFonts w:hint="eastAsia"/>
                <w:color w:val="auto"/>
                <w:kern w:val="0"/>
                <w:highlight w:val="none"/>
              </w:rPr>
              <w:t>在规定年度之后</w:t>
            </w:r>
            <w:r>
              <w:rPr>
                <w:color w:val="auto"/>
                <w:highlight w:val="none"/>
              </w:rPr>
              <w:t>的</w:t>
            </w:r>
            <w:r>
              <w:rPr>
                <w:rFonts w:hint="eastAsia"/>
                <w:color w:val="auto"/>
                <w:szCs w:val="21"/>
                <w:highlight w:val="none"/>
              </w:rPr>
              <w:t>法人或</w:t>
            </w:r>
            <w:r>
              <w:rPr>
                <w:rFonts w:hint="eastAsia"/>
                <w:color w:val="auto"/>
                <w:szCs w:val="21"/>
                <w:highlight w:val="none"/>
                <w:lang w:eastAsia="zh-CN"/>
              </w:rPr>
              <w:t>非法人组织</w:t>
            </w:r>
            <w:r>
              <w:rPr>
                <w:color w:val="auto"/>
                <w:highlight w:val="none"/>
              </w:rPr>
              <w:t>，需提供成立</w:t>
            </w:r>
            <w:r>
              <w:rPr>
                <w:rFonts w:hint="eastAsia"/>
                <w:color w:val="auto"/>
                <w:highlight w:val="none"/>
              </w:rPr>
              <w:t>之日起至响应文件提交截止时间前</w:t>
            </w:r>
            <w:r>
              <w:rPr>
                <w:color w:val="auto"/>
                <w:highlight w:val="none"/>
              </w:rPr>
              <w:t>的月报表</w:t>
            </w:r>
            <w:r>
              <w:rPr>
                <w:rFonts w:hint="eastAsia"/>
                <w:color w:val="auto"/>
                <w:szCs w:val="21"/>
                <w:highlight w:val="none"/>
              </w:rPr>
              <w:t>或银行出具的资信证明；资信证明应在有效期内，未注明有效期的，银行出具时间至响应文件提交截止时间不超过一年）</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b/>
                <w:color w:val="auto"/>
                <w:szCs w:val="21"/>
                <w:highlight w:val="none"/>
              </w:rPr>
              <w:t>除自然人外必须提供</w:t>
            </w:r>
            <w:r>
              <w:rPr>
                <w:rFonts w:hint="eastAsia" w:ascii="宋体" w:hAnsi="宋体" w:cs="宋体"/>
                <w:b/>
                <w:color w:val="auto"/>
                <w:szCs w:val="21"/>
                <w:highlight w:val="none"/>
              </w:rPr>
              <w:t>，否则响应文件按无效响应处理</w:t>
            </w:r>
            <w:r>
              <w:rPr>
                <w:rFonts w:hint="eastAsia" w:ascii="宋体" w:hAnsi="宋体" w:cs="宋体"/>
                <w:bCs/>
                <w:color w:val="auto"/>
                <w:szCs w:val="21"/>
                <w:highlight w:val="none"/>
              </w:rPr>
              <w:t>）</w:t>
            </w:r>
          </w:p>
          <w:p>
            <w:pPr>
              <w:pStyle w:val="9"/>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5.供应商直接控股、管理关系信息表（格式后附）；（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pStyle w:val="9"/>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6.竞标声明（格式后附）；（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hint="eastAsia" w:ascii="宋体" w:hAns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.联合体竞标协议书（格式后附）；（</w:t>
            </w:r>
            <w:r>
              <w:rPr>
                <w:rFonts w:hint="eastAsia" w:ascii="宋体" w:hAnsi="宋体" w:cs="宋体"/>
                <w:b/>
                <w:color w:val="auto"/>
                <w:szCs w:val="21"/>
                <w:highlight w:val="none"/>
              </w:rPr>
              <w:t>联合体竞标时必须提供，否则响应文件按无效响应处理</w:t>
            </w:r>
            <w:r>
              <w:rPr>
                <w:rFonts w:hint="eastAsia" w:ascii="宋体" w:hAnsi="宋体" w:cs="宋体"/>
                <w:color w:val="auto"/>
                <w:szCs w:val="21"/>
                <w:highlight w:val="none"/>
              </w:rPr>
              <w:t>）</w:t>
            </w:r>
          </w:p>
          <w:p>
            <w:pPr>
              <w:pStyle w:val="9"/>
              <w:spacing w:line="360" w:lineRule="auto"/>
              <w:ind w:firstLine="0" w:firstLineChars="0"/>
              <w:rPr>
                <w:rFonts w:hint="eastAsia" w:ascii="宋体" w:hAns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.除磋商文件规定必须提供以外，供应商认为需要提供的其他证明材料</w:t>
            </w:r>
            <w:r>
              <w:rPr>
                <w:rFonts w:hint="eastAsia" w:ascii="宋体" w:hAnsi="宋体" w:cs="宋体"/>
                <w:color w:val="auto"/>
                <w:szCs w:val="21"/>
                <w:highlight w:val="none"/>
                <w:lang w:eastAsia="zh-CN"/>
              </w:rPr>
              <w:t>。</w:t>
            </w:r>
          </w:p>
          <w:p>
            <w:pPr>
              <w:pStyle w:val="9"/>
              <w:spacing w:line="360" w:lineRule="auto"/>
              <w:ind w:firstLine="0" w:firstLineChars="0"/>
              <w:rPr>
                <w:rFonts w:hint="eastAsia" w:ascii="宋体" w:hAnsi="宋体" w:cs="宋体"/>
                <w:b/>
                <w:color w:val="auto"/>
                <w:szCs w:val="21"/>
                <w:highlight w:val="none"/>
              </w:rPr>
            </w:pPr>
            <w:r>
              <w:rPr>
                <w:rFonts w:hint="eastAsia" w:ascii="宋体" w:hAnsi="宋体" w:cs="宋体"/>
                <w:b/>
                <w:color w:val="auto"/>
                <w:szCs w:val="21"/>
                <w:highlight w:val="none"/>
              </w:rPr>
              <w:t>注：</w:t>
            </w:r>
          </w:p>
          <w:p>
            <w:pPr>
              <w:pStyle w:val="9"/>
              <w:spacing w:line="360" w:lineRule="auto"/>
              <w:ind w:firstLine="0" w:firstLineChars="0"/>
              <w:rPr>
                <w:rFonts w:hint="eastAsia"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1.以上标明“必须提供”的材料属于复印件的，必须加盖供应商公章，否则响应文件按无效响应处理。</w:t>
            </w:r>
          </w:p>
          <w:p>
            <w:pPr>
              <w:pStyle w:val="9"/>
              <w:spacing w:line="360" w:lineRule="auto"/>
              <w:ind w:firstLine="0" w:firstLineChars="0"/>
              <w:rPr>
                <w:rFonts w:hint="eastAsia" w:ascii="宋体" w:hAnsi="宋体" w:cs="宋体"/>
                <w:b/>
                <w:color w:val="auto"/>
                <w:szCs w:val="21"/>
                <w:highlight w:val="none"/>
              </w:rPr>
            </w:pPr>
            <w:r>
              <w:rPr>
                <w:rFonts w:hint="eastAsia" w:ascii="宋体" w:hAnsi="宋体" w:cs="宋体"/>
                <w:b/>
                <w:color w:val="auto"/>
                <w:szCs w:val="21"/>
                <w:highlight w:val="none"/>
              </w:rPr>
              <w:t>2.竞标声明必须由法定代表人在规定签章处签名并加盖供应商公章，否则响应文件按无效响应处理。</w:t>
            </w:r>
          </w:p>
          <w:p>
            <w:pPr>
              <w:pStyle w:val="9"/>
              <w:spacing w:line="360" w:lineRule="auto"/>
              <w:ind w:firstLine="0" w:firstLineChars="0"/>
              <w:rPr>
                <w:rFonts w:hint="eastAsia" w:ascii="宋体" w:hAnsi="宋体" w:cs="宋体"/>
                <w:b/>
                <w:color w:val="auto"/>
                <w:szCs w:val="21"/>
                <w:highlight w:val="none"/>
              </w:rPr>
            </w:pPr>
            <w:r>
              <w:rPr>
                <w:rFonts w:hint="eastAsia" w:ascii="宋体" w:hAnsi="宋体" w:cs="宋体"/>
                <w:b/>
                <w:color w:val="auto"/>
                <w:szCs w:val="21"/>
                <w:highlight w:val="none"/>
              </w:rPr>
              <w:t>3.供应商直接控股、管理关系信息表必须由法定代表人或者委托代理人在规定签章处签名并加盖供应商公章，否则响应文件按无效响应处理。</w:t>
            </w:r>
          </w:p>
          <w:p>
            <w:pPr>
              <w:pStyle w:val="9"/>
              <w:spacing w:line="360" w:lineRule="auto"/>
              <w:ind w:firstLine="0" w:firstLineChars="0"/>
              <w:rPr>
                <w:rFonts w:hint="eastAsia" w:ascii="宋体" w:hAnsi="宋体" w:cs="宋体"/>
                <w:b/>
                <w:color w:val="auto"/>
                <w:szCs w:val="21"/>
                <w:highlight w:val="none"/>
              </w:rPr>
            </w:pPr>
            <w:r>
              <w:rPr>
                <w:rFonts w:hint="eastAsia" w:ascii="宋体" w:hAnsi="宋体" w:cs="宋体"/>
                <w:b/>
                <w:color w:val="auto"/>
                <w:szCs w:val="21"/>
                <w:highlight w:val="none"/>
              </w:rPr>
              <w:t>4.联合体竞标时，第1-</w:t>
            </w:r>
            <w:r>
              <w:rPr>
                <w:rFonts w:ascii="宋体" w:hAnsi="宋体" w:cs="宋体"/>
                <w:b/>
                <w:color w:val="auto"/>
                <w:szCs w:val="21"/>
                <w:highlight w:val="none"/>
              </w:rPr>
              <w:t>5</w:t>
            </w:r>
            <w:r>
              <w:rPr>
                <w:rFonts w:hint="eastAsia" w:ascii="宋体" w:hAnsi="宋体" w:cs="宋体"/>
                <w:b/>
                <w:color w:val="auto"/>
                <w:szCs w:val="21"/>
                <w:highlight w:val="none"/>
              </w:rPr>
              <w:t>项资格证明文件联合体各方均必须分别提供，联合体各方分别盖章和签名，否则响应文件按无效响应处理。</w:t>
            </w:r>
          </w:p>
          <w:p>
            <w:pPr>
              <w:pStyle w:val="9"/>
              <w:spacing w:line="360" w:lineRule="auto"/>
              <w:ind w:firstLine="0" w:firstLineChars="0"/>
              <w:rPr>
                <w:rFonts w:hint="eastAsia" w:ascii="宋体" w:hAnsi="宋体" w:cs="宋体"/>
                <w:b/>
                <w:color w:val="auto"/>
                <w:szCs w:val="21"/>
                <w:highlight w:val="none"/>
              </w:rPr>
            </w:pPr>
            <w:r>
              <w:rPr>
                <w:rFonts w:hint="eastAsia" w:ascii="宋体" w:hAnsi="宋体"/>
                <w:b/>
                <w:bCs/>
                <w:color w:val="auto"/>
                <w:szCs w:val="21"/>
                <w:highlight w:val="none"/>
              </w:rPr>
              <w:t>5.分公司（分所）参加竞标的，应当取得总公司（总所）授权</w:t>
            </w:r>
            <w:r>
              <w:rPr>
                <w:rFonts w:hint="eastAsia" w:ascii="宋体" w:hAnsi="宋体"/>
                <w:b/>
                <w:bCs/>
                <w:color w:val="auto"/>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2</w:t>
            </w:r>
          </w:p>
        </w:tc>
        <w:tc>
          <w:tcPr>
            <w:tcW w:w="7912" w:type="dxa"/>
            <w:noWrap w:val="0"/>
            <w:vAlign w:val="center"/>
          </w:tcPr>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报价商务技术文件</w:t>
            </w:r>
          </w:p>
          <w:p>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2.竞标报价表（格式后附）；（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3.法定代表人身份证明书及法定代表人有效身份证正反面复印件（格式后附）；（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ind w:firstLine="0" w:firstLineChars="0"/>
              <w:rPr>
                <w:rFonts w:hint="eastAsia" w:ascii="宋体" w:hAnsi="宋体" w:cs="宋体"/>
                <w:b/>
                <w:color w:val="auto"/>
                <w:szCs w:val="21"/>
                <w:highlight w:val="none"/>
              </w:rPr>
            </w:pPr>
            <w:r>
              <w:rPr>
                <w:rFonts w:hint="eastAsia" w:ascii="宋体" w:hAnsi="宋体" w:cs="宋体"/>
                <w:color w:val="auto"/>
                <w:szCs w:val="21"/>
                <w:highlight w:val="none"/>
              </w:rPr>
              <w:t>4.授权委托书及委托代理人有效身份证正反面复印件（格式后附）；（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6.服务方案（格式自拟）；（</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7.技术要求偏离表（格式后附）；（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8.项目实施人员一览表（格式</w:t>
            </w:r>
            <w:r>
              <w:rPr>
                <w:rFonts w:hint="eastAsia" w:ascii="宋体" w:hAnsi="宋体" w:cs="宋体"/>
                <w:color w:val="auto"/>
                <w:szCs w:val="21"/>
                <w:highlight w:val="none"/>
                <w:lang w:eastAsia="zh-CN"/>
              </w:rPr>
              <w:t>后附</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）9.供应商认为需要提供的其他有关资料。</w:t>
            </w:r>
          </w:p>
          <w:p>
            <w:pPr>
              <w:snapToGrid w:val="0"/>
              <w:spacing w:line="360" w:lineRule="auto"/>
              <w:ind w:firstLine="0" w:firstLineChars="0"/>
              <w:jc w:val="left"/>
              <w:rPr>
                <w:rFonts w:hint="eastAsia" w:ascii="宋体" w:hAnsi="宋体" w:cs="宋体"/>
                <w:b/>
                <w:color w:val="auto"/>
                <w:szCs w:val="21"/>
                <w:highlight w:val="none"/>
              </w:rPr>
            </w:pPr>
            <w:r>
              <w:rPr>
                <w:rFonts w:hint="eastAsia" w:ascii="宋体" w:hAnsi="宋体" w:cs="宋体"/>
                <w:b/>
                <w:color w:val="auto"/>
                <w:szCs w:val="21"/>
                <w:highlight w:val="none"/>
              </w:rPr>
              <w:t>注：以上标明“必须提供”的材料属于复印件的，必须加盖供应商公章，否则响应文件按无效响应处理。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2</w:t>
            </w:r>
          </w:p>
        </w:tc>
        <w:tc>
          <w:tcPr>
            <w:tcW w:w="7912" w:type="dxa"/>
            <w:noWrap w:val="0"/>
            <w:vAlign w:val="center"/>
          </w:tcPr>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本项目须提供</w:t>
            </w:r>
            <w:r>
              <w:rPr>
                <w:rFonts w:hint="eastAsia" w:ascii="宋体" w:hAnsi="宋体" w:cs="宋体"/>
                <w:color w:val="auto"/>
                <w:szCs w:val="21"/>
                <w:highlight w:val="none"/>
              </w:rPr>
              <w:t>响应文件电子版</w:t>
            </w:r>
            <w:r>
              <w:rPr>
                <w:rFonts w:hint="eastAsia" w:ascii="宋体" w:hAnsi="宋体"/>
                <w:color w:val="auto"/>
                <w:szCs w:val="21"/>
                <w:highlight w:val="none"/>
              </w:rPr>
              <w:t>，具体规定如下：</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供应商在递交响应文件时，同时递交响应文件电子版。</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1.响应文件电子版内容：与纸质响应文件全部内容一致。</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2.响应文件电子版形式：可编辑的word文档格式1份和已签名盖章的响应文件正本的扫描件（PDF格式）1份。</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3.响应文件电子版密封方式：响应文件电子版光盘（或者U盘）与纸质版响应文件一并装入响应文件袋中。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7912" w:type="dxa"/>
            <w:noWrap w:val="0"/>
            <w:vAlign w:val="center"/>
          </w:tcPr>
          <w:p>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color w:val="auto"/>
                <w:szCs w:val="21"/>
                <w:highlight w:val="none"/>
              </w:rPr>
              <w:t>竞标报价是履行合同的最终价格，</w:t>
            </w:r>
            <w:r>
              <w:rPr>
                <w:rFonts w:hint="eastAsia" w:ascii="宋体" w:hAnsi="宋体" w:cs="宋体"/>
                <w:color w:val="auto"/>
                <w:szCs w:val="21"/>
                <w:highlight w:val="none"/>
              </w:rPr>
              <w:t>即满足全部采购需求所应提供的服务的价格；包括竞标服务的成本、运输（含保险</w:t>
            </w:r>
            <w:r>
              <w:rPr>
                <w:rFonts w:hint="eastAsia" w:ascii="宋体" w:hAnsi="宋体" w:cs="宋体"/>
                <w:color w:val="auto"/>
                <w:szCs w:val="21"/>
                <w:highlight w:val="none"/>
                <w:lang w:eastAsia="zh-CN"/>
              </w:rPr>
              <w:t>）（</w:t>
            </w:r>
            <w:r>
              <w:rPr>
                <w:rFonts w:hint="eastAsia" w:ascii="宋体" w:hAnsi="宋体" w:cs="宋体"/>
                <w:color w:val="auto"/>
                <w:szCs w:val="21"/>
                <w:highlight w:val="none"/>
              </w:rPr>
              <w:t>如有）、服务、培训、税费等所有费用。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noWrap w:val="0"/>
            <w:vAlign w:val="center"/>
          </w:tcPr>
          <w:p>
            <w:pPr>
              <w:pStyle w:val="8"/>
              <w:widowControl w:val="0"/>
              <w:tabs>
                <w:tab w:val="clear" w:pos="454"/>
              </w:tabs>
              <w:snapToGrid w:val="0"/>
              <w:spacing w:afterLines="0" w:line="360" w:lineRule="auto"/>
              <w:ind w:left="283" w:hanging="283" w:hangingChars="13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竞标有效期：</w:t>
            </w:r>
            <w:r>
              <w:rPr>
                <w:rFonts w:hint="eastAsia" w:ascii="宋体" w:hAnsi="宋体" w:cs="宋体"/>
                <w:color w:val="auto"/>
                <w:kern w:val="2"/>
                <w:sz w:val="21"/>
                <w:szCs w:val="21"/>
                <w:highlight w:val="none"/>
                <w:u w:val="single"/>
                <w:lang w:val="en-US" w:eastAsia="zh-CN"/>
              </w:rPr>
              <w:t>2023年5月29日至2023年6月8日9时00分</w:t>
            </w:r>
            <w:r>
              <w:rPr>
                <w:rFonts w:hint="eastAsia" w:ascii="宋体" w:hAnsi="宋体" w:cs="宋体"/>
                <w:color w:val="auto"/>
                <w:kern w:val="2"/>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7912" w:type="dxa"/>
            <w:noWrap w:val="0"/>
            <w:vAlign w:val="center"/>
          </w:tcPr>
          <w:p>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本项目不收取磋商保证金。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18.2</w:t>
            </w:r>
          </w:p>
        </w:tc>
        <w:tc>
          <w:tcPr>
            <w:tcW w:w="7912"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响应文件份数：正本一份、副本</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7912" w:type="dxa"/>
            <w:noWrap w:val="0"/>
            <w:vAlign w:val="center"/>
          </w:tcPr>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响应文件提交起止时间：</w:t>
            </w:r>
            <w:r>
              <w:rPr>
                <w:rFonts w:hint="eastAsia" w:ascii="宋体" w:hAnsi="宋体" w:cs="宋体"/>
                <w:bCs/>
                <w:color w:val="auto"/>
                <w:kern w:val="0"/>
                <w:szCs w:val="21"/>
                <w:highlight w:val="none"/>
                <w:u w:val="single"/>
                <w:lang w:val="en-US" w:eastAsia="zh-CN"/>
              </w:rPr>
              <w:t>2023</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29</w:t>
            </w:r>
            <w:r>
              <w:rPr>
                <w:rFonts w:hint="eastAsia" w:ascii="宋体" w:hAnsi="宋体" w:cs="宋体"/>
                <w:bCs/>
                <w:color w:val="auto"/>
                <w:kern w:val="0"/>
                <w:szCs w:val="21"/>
                <w:highlight w:val="none"/>
                <w:u w:val="single"/>
              </w:rPr>
              <w:t>日至</w:t>
            </w:r>
            <w:r>
              <w:rPr>
                <w:rFonts w:hint="eastAsia" w:ascii="宋体" w:hAnsi="宋体" w:cs="宋体"/>
                <w:bCs/>
                <w:color w:val="auto"/>
                <w:kern w:val="0"/>
                <w:szCs w:val="21"/>
                <w:highlight w:val="none"/>
                <w:u w:val="single"/>
                <w:lang w:val="en-US" w:eastAsia="zh-CN"/>
              </w:rPr>
              <w:t>2023</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6</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8</w:t>
            </w:r>
            <w:r>
              <w:rPr>
                <w:rFonts w:hint="eastAsia" w:ascii="宋体" w:hAnsi="宋体" w:cs="宋体"/>
                <w:bCs/>
                <w:color w:val="auto"/>
                <w:kern w:val="0"/>
                <w:szCs w:val="21"/>
                <w:highlight w:val="none"/>
                <w:u w:val="single"/>
              </w:rPr>
              <w:t>日</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分</w:t>
            </w:r>
            <w:r>
              <w:rPr>
                <w:rFonts w:hint="eastAsia" w:ascii="宋体" w:hAnsi="宋体"/>
                <w:bCs/>
                <w:color w:val="auto"/>
                <w:szCs w:val="21"/>
                <w:highlight w:val="none"/>
              </w:rPr>
              <w:t>（北京时间）</w:t>
            </w:r>
            <w:r>
              <w:rPr>
                <w:rFonts w:hint="eastAsia" w:ascii="宋体" w:hAnsi="宋体" w:cs="宋体"/>
                <w:color w:val="auto"/>
                <w:szCs w:val="21"/>
                <w:highlight w:val="none"/>
              </w:rPr>
              <w:t>。</w:t>
            </w:r>
          </w:p>
          <w:p>
            <w:pPr>
              <w:spacing w:line="360" w:lineRule="auto"/>
              <w:contextualSpacing/>
              <w:jc w:val="left"/>
              <w:rPr>
                <w:rFonts w:hint="eastAsia" w:ascii="宋体" w:hAnsi="宋体" w:cs="宋体"/>
                <w:b w:val="0"/>
                <w:bCs w:val="0"/>
                <w:color w:val="auto"/>
                <w:szCs w:val="21"/>
                <w:highlight w:val="none"/>
                <w:u w:val="single"/>
              </w:rPr>
            </w:pPr>
            <w:r>
              <w:rPr>
                <w:rFonts w:hint="eastAsia" w:ascii="宋体" w:hAnsi="宋体" w:cs="宋体"/>
                <w:color w:val="auto"/>
                <w:szCs w:val="21"/>
                <w:highlight w:val="none"/>
              </w:rPr>
              <w:t>响应文件提交截止时间</w:t>
            </w:r>
            <w:r>
              <w:rPr>
                <w:rFonts w:hint="eastAsia" w:ascii="宋体" w:hAnsi="宋体" w:cs="宋体"/>
                <w:b w:val="0"/>
                <w:bCs w:val="0"/>
                <w:color w:val="auto"/>
                <w:szCs w:val="21"/>
                <w:highlight w:val="none"/>
              </w:rPr>
              <w:t>：详见竞争性磋商公告或者竞标邀请函。</w:t>
            </w:r>
          </w:p>
          <w:p>
            <w:pPr>
              <w:spacing w:line="360" w:lineRule="auto"/>
              <w:contextualSpacing/>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响应文件提交地点：详见竞争性磋商公告或者竞标邀请函。</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供应商必须在响应文件提交截止时间前，将响应文件密封送达首次响应文件提交地点。在响应文件提交截止时间后送达的响应文件为无效文件，采购</w:t>
            </w:r>
            <w:r>
              <w:rPr>
                <w:rFonts w:hint="eastAsia" w:ascii="宋体" w:hAnsi="宋体" w:cs="宋体"/>
                <w:color w:val="auto"/>
                <w:szCs w:val="21"/>
                <w:highlight w:val="none"/>
                <w:lang w:eastAsia="zh-CN"/>
              </w:rPr>
              <w:t>人将</w:t>
            </w:r>
            <w:r>
              <w:rPr>
                <w:rFonts w:hint="eastAsia" w:ascii="宋体" w:hAnsi="宋体" w:cs="宋体"/>
                <w:color w:val="auto"/>
                <w:szCs w:val="21"/>
                <w:highlight w:val="none"/>
              </w:rPr>
              <w:t>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24.1</w:t>
            </w:r>
          </w:p>
        </w:tc>
        <w:tc>
          <w:tcPr>
            <w:tcW w:w="7912" w:type="dxa"/>
            <w:noWrap w:val="0"/>
            <w:vAlign w:val="center"/>
          </w:tcPr>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lang w:val="en-US" w:eastAsia="zh-CN"/>
              </w:rPr>
              <w:t>5-7</w:t>
            </w:r>
            <w:r>
              <w:rPr>
                <w:rFonts w:hint="eastAsia" w:ascii="宋体" w:hAnsi="宋体" w:cs="宋体"/>
                <w:color w:val="auto"/>
                <w:szCs w:val="21"/>
                <w:highlight w:val="none"/>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26.2</w:t>
            </w:r>
          </w:p>
        </w:tc>
        <w:tc>
          <w:tcPr>
            <w:tcW w:w="7912" w:type="dxa"/>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磋商的顺序：</w:t>
            </w:r>
          </w:p>
          <w:p>
            <w:pPr>
              <w:pStyle w:val="9"/>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参与磋商前，供应商法定代表人或者委托代理人必须向磋商小组出示本人有效证件原件</w:t>
            </w:r>
            <w:r>
              <w:rPr>
                <w:rFonts w:ascii="宋体" w:hAnsi="宋体" w:cs="宋体"/>
                <w:b/>
                <w:color w:val="auto"/>
                <w:szCs w:val="21"/>
                <w:highlight w:val="none"/>
              </w:rPr>
              <w:t>[</w:t>
            </w:r>
            <w:r>
              <w:rPr>
                <w:rFonts w:hint="eastAsia" w:ascii="宋体" w:hAnsi="宋体" w:cs="宋体"/>
                <w:b/>
                <w:color w:val="auto"/>
                <w:szCs w:val="21"/>
                <w:highlight w:val="none"/>
              </w:rPr>
              <w:t>有效证件可以是身份证（含临时身份证明）、社会保障卡或者护照的其中一项]，若参与磋商的委托代理人不是响应文件中授权的委托代理人时，必须同时出示有效的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28.1</w:t>
            </w:r>
          </w:p>
        </w:tc>
        <w:tc>
          <w:tcPr>
            <w:tcW w:w="7912" w:type="dxa"/>
            <w:noWrap w:val="0"/>
            <w:vAlign w:val="center"/>
          </w:tcPr>
          <w:p>
            <w:pPr>
              <w:autoSpaceDE/>
              <w:autoSpaceDN/>
              <w:snapToGrid/>
              <w:spacing w:line="360" w:lineRule="auto"/>
              <w:contextualSpacing/>
              <w:textAlignment w:val="auto"/>
              <w:rPr>
                <w:rFonts w:ascii="宋体" w:hAnsi="宋体" w:cs="宋体"/>
                <w:b/>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本项目不收取履约保证金。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29.1</w:t>
            </w:r>
          </w:p>
        </w:tc>
        <w:tc>
          <w:tcPr>
            <w:tcW w:w="7912" w:type="dxa"/>
            <w:noWrap w:val="0"/>
            <w:vAlign w:val="center"/>
          </w:tcPr>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0</w:t>
            </w:r>
            <w:r>
              <w:rPr>
                <w:rFonts w:ascii="宋体" w:hAnsi="宋体" w:cs="宋体"/>
                <w:color w:val="auto"/>
                <w:szCs w:val="21"/>
                <w:highlight w:val="none"/>
              </w:rPr>
              <w:t>.2</w:t>
            </w:r>
          </w:p>
        </w:tc>
        <w:tc>
          <w:tcPr>
            <w:tcW w:w="7912" w:type="dxa"/>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接收质疑函方式：以书面形式。</w:t>
            </w:r>
          </w:p>
          <w:p>
            <w:pPr>
              <w:pStyle w:val="16"/>
              <w:snapToGrid w:val="0"/>
              <w:spacing w:line="360" w:lineRule="auto"/>
              <w:rPr>
                <w:rFonts w:hint="default" w:hAnsi="宋体" w:eastAsia="宋体" w:cs="宋体"/>
                <w:color w:val="auto"/>
                <w:kern w:val="2"/>
                <w:sz w:val="21"/>
                <w:highlight w:val="none"/>
                <w:lang w:val="en-US" w:eastAsia="zh-CN"/>
              </w:rPr>
            </w:pPr>
            <w:r>
              <w:rPr>
                <w:rFonts w:hint="eastAsia" w:hAnsi="宋体" w:cs="宋体"/>
                <w:color w:val="auto"/>
                <w:kern w:val="2"/>
                <w:sz w:val="21"/>
                <w:highlight w:val="none"/>
              </w:rPr>
              <w:t>质疑联系部门及联系方式：</w:t>
            </w:r>
            <w:r>
              <w:rPr>
                <w:rFonts w:hint="eastAsia" w:hAnsi="宋体" w:cs="宋体"/>
                <w:color w:val="auto"/>
                <w:kern w:val="2"/>
                <w:sz w:val="21"/>
                <w:highlight w:val="none"/>
                <w:u w:val="single"/>
                <w:lang w:val="en-US" w:eastAsia="zh-CN"/>
              </w:rPr>
              <w:t>人力资源部</w:t>
            </w:r>
            <w:r>
              <w:rPr>
                <w:rFonts w:hint="eastAsia" w:hAnsi="宋体" w:cs="宋体"/>
                <w:color w:val="auto"/>
                <w:kern w:val="2"/>
                <w:sz w:val="21"/>
                <w:highlight w:val="none"/>
              </w:rPr>
              <w:t>，联系电话：</w:t>
            </w:r>
            <w:r>
              <w:rPr>
                <w:rFonts w:hint="eastAsia" w:hAnsi="宋体" w:cs="宋体"/>
                <w:color w:val="auto"/>
                <w:kern w:val="2"/>
                <w:sz w:val="21"/>
                <w:highlight w:val="none"/>
                <w:u w:val="single"/>
                <w:lang w:val="en-US" w:eastAsia="zh-CN"/>
              </w:rPr>
              <w:t>0771-2350335</w:t>
            </w:r>
            <w:r>
              <w:rPr>
                <w:rFonts w:hint="eastAsia" w:hAnsi="宋体" w:cs="宋体"/>
                <w:color w:val="auto"/>
                <w:kern w:val="2"/>
                <w:sz w:val="21"/>
                <w:highlight w:val="none"/>
              </w:rPr>
              <w:t>，通讯地址：</w:t>
            </w:r>
            <w:r>
              <w:rPr>
                <w:rFonts w:hint="eastAsia" w:hAnsi="宋体" w:cs="宋体"/>
                <w:color w:val="auto"/>
                <w:kern w:val="2"/>
                <w:sz w:val="21"/>
                <w:highlight w:val="none"/>
                <w:u w:val="single"/>
                <w:lang w:val="en-US" w:eastAsia="zh-CN"/>
              </w:rPr>
              <w:t>广西南宁市民族大道148号广西壮族自治区农村信用社联合社60楼6040办公室</w:t>
            </w:r>
          </w:p>
          <w:p>
            <w:pPr>
              <w:autoSpaceDE w:val="0"/>
              <w:autoSpaceDN w:val="0"/>
              <w:snapToGrid w:val="0"/>
              <w:spacing w:line="360" w:lineRule="auto"/>
              <w:textAlignment w:val="bottom"/>
              <w:rPr>
                <w:rFonts w:hint="eastAsia" w:ascii="宋体" w:hAnsi="宋体"/>
                <w:color w:val="auto"/>
                <w:szCs w:val="21"/>
                <w:highlight w:val="none"/>
              </w:rPr>
            </w:pPr>
            <w:r>
              <w:rPr>
                <w:rFonts w:hint="eastAsia" w:hAnsi="宋体" w:cs="宋体"/>
                <w:color w:val="auto"/>
                <w:highlight w:val="none"/>
              </w:rPr>
              <w:t>业务时间：</w:t>
            </w:r>
            <w:r>
              <w:rPr>
                <w:rFonts w:hint="eastAsia" w:ascii="宋体" w:hAnsi="宋体" w:cs="宋体"/>
                <w:color w:val="auto"/>
                <w:szCs w:val="21"/>
                <w:highlight w:val="none"/>
                <w:u w:val="single"/>
              </w:rPr>
              <w:t>8:00-12:00，15:00-18:00，双休日和法定节假日</w:t>
            </w:r>
            <w:r>
              <w:rPr>
                <w:rFonts w:hint="eastAsia" w:ascii="宋体" w:hAnsi="宋体" w:cs="宋体"/>
                <w:color w:val="auto"/>
                <w:szCs w:val="21"/>
                <w:highlight w:val="none"/>
                <w:u w:val="single"/>
                <w:lang w:val="en-US" w:eastAsia="zh-CN"/>
              </w:rPr>
              <w:t>除外</w:t>
            </w:r>
            <w:r>
              <w:rPr>
                <w:rFonts w:hint="eastAsia" w:ascii="宋体" w:hAnsi="宋体" w:cs="宋体"/>
                <w:color w:val="auto"/>
                <w:szCs w:val="21"/>
                <w:highlight w:val="none"/>
                <w:u w:val="single"/>
              </w:rPr>
              <w:t>。</w:t>
            </w:r>
            <w:r>
              <w:rPr>
                <w:rFonts w:hint="eastAsia" w:hAnsi="宋体" w:cs="宋体"/>
                <w:color w:val="auto"/>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1</w:t>
            </w:r>
            <w:r>
              <w:rPr>
                <w:rFonts w:ascii="宋体" w:hAnsi="宋体" w:cs="宋体"/>
                <w:color w:val="auto"/>
                <w:szCs w:val="21"/>
                <w:highlight w:val="none"/>
              </w:rPr>
              <w:t>.1</w:t>
            </w:r>
          </w:p>
        </w:tc>
        <w:tc>
          <w:tcPr>
            <w:tcW w:w="7912" w:type="dxa"/>
            <w:noWrap w:val="0"/>
            <w:vAlign w:val="center"/>
          </w:tcPr>
          <w:p>
            <w:pPr>
              <w:pStyle w:val="16"/>
              <w:snapToGrid w:val="0"/>
              <w:spacing w:line="360" w:lineRule="auto"/>
              <w:rPr>
                <w:rFonts w:hint="eastAsia" w:hAnsi="宋体" w:cs="宋体"/>
                <w:color w:val="auto"/>
                <w:kern w:val="2"/>
                <w:sz w:val="21"/>
                <w:highlight w:val="none"/>
              </w:rPr>
            </w:pPr>
            <w:r>
              <w:rPr>
                <w:rFonts w:hint="eastAsia" w:hAnsi="宋体"/>
                <w:color w:val="auto"/>
                <w:sz w:val="21"/>
                <w:highlight w:val="none"/>
              </w:rPr>
              <w:t>解释：</w:t>
            </w:r>
            <w:r>
              <w:rPr>
                <w:rFonts w:hAnsi="宋体"/>
                <w:color w:val="auto"/>
                <w:sz w:val="21"/>
                <w:highlight w:val="none"/>
              </w:rPr>
              <w:t>构成本</w:t>
            </w:r>
            <w:r>
              <w:rPr>
                <w:rFonts w:hint="eastAsia" w:hAnsi="宋体"/>
                <w:color w:val="auto"/>
                <w:sz w:val="21"/>
                <w:highlight w:val="none"/>
              </w:rPr>
              <w:t>磋商文件</w:t>
            </w:r>
            <w:r>
              <w:rPr>
                <w:rFonts w:hAnsi="宋体"/>
                <w:color w:val="auto"/>
                <w:sz w:val="21"/>
                <w:highlight w:val="none"/>
              </w:rPr>
              <w:t>的各个组成文件应互为解释，互为说明；除</w:t>
            </w:r>
            <w:r>
              <w:rPr>
                <w:rFonts w:hint="eastAsia" w:hAnsi="宋体"/>
                <w:color w:val="auto"/>
                <w:sz w:val="21"/>
                <w:highlight w:val="none"/>
              </w:rPr>
              <w:t>磋商文件</w:t>
            </w:r>
            <w:r>
              <w:rPr>
                <w:rFonts w:hAnsi="宋体"/>
                <w:color w:val="auto"/>
                <w:sz w:val="21"/>
                <w:highlight w:val="none"/>
              </w:rPr>
              <w:t>中有特别规定外，仅适用于</w:t>
            </w:r>
            <w:r>
              <w:rPr>
                <w:rFonts w:hint="eastAsia" w:hAnsi="宋体"/>
                <w:color w:val="auto"/>
                <w:sz w:val="21"/>
                <w:highlight w:val="none"/>
              </w:rPr>
              <w:t>竞标</w:t>
            </w:r>
            <w:r>
              <w:rPr>
                <w:rFonts w:hAnsi="宋体"/>
                <w:color w:val="auto"/>
                <w:sz w:val="21"/>
                <w:highlight w:val="none"/>
              </w:rPr>
              <w:t>阶段的规定，按</w:t>
            </w:r>
            <w:r>
              <w:rPr>
                <w:rFonts w:hint="eastAsia" w:hAnsi="宋体"/>
                <w:color w:val="auto"/>
                <w:sz w:val="21"/>
                <w:highlight w:val="none"/>
              </w:rPr>
              <w:t>更正公告（澄清公告）</w:t>
            </w:r>
            <w:r>
              <w:rPr>
                <w:rFonts w:hAnsi="宋体"/>
                <w:color w:val="auto"/>
                <w:sz w:val="21"/>
                <w:highlight w:val="none"/>
              </w:rPr>
              <w:t>、</w:t>
            </w:r>
            <w:r>
              <w:rPr>
                <w:rFonts w:hint="eastAsia" w:hAnsi="宋体"/>
                <w:color w:val="auto"/>
                <w:sz w:val="21"/>
                <w:highlight w:val="none"/>
              </w:rPr>
              <w:t>竞争性磋商</w:t>
            </w:r>
            <w:r>
              <w:rPr>
                <w:rFonts w:hAnsi="宋体"/>
                <w:color w:val="auto"/>
                <w:sz w:val="21"/>
                <w:highlight w:val="none"/>
              </w:rPr>
              <w:t>公告、</w:t>
            </w:r>
            <w:r>
              <w:rPr>
                <w:rFonts w:hint="eastAsia" w:hAnsi="宋体"/>
                <w:color w:val="auto"/>
                <w:sz w:val="21"/>
                <w:highlight w:val="none"/>
              </w:rPr>
              <w:t>供应商</w:t>
            </w:r>
            <w:r>
              <w:rPr>
                <w:rFonts w:hAnsi="宋体"/>
                <w:color w:val="auto"/>
                <w:sz w:val="21"/>
                <w:highlight w:val="none"/>
              </w:rPr>
              <w:t>须知</w:t>
            </w:r>
            <w:r>
              <w:rPr>
                <w:rFonts w:hint="eastAsia" w:hAnsi="宋体"/>
                <w:color w:val="auto"/>
                <w:sz w:val="21"/>
                <w:highlight w:val="none"/>
              </w:rPr>
              <w:t>、采购需求</w:t>
            </w:r>
            <w:r>
              <w:rPr>
                <w:rFonts w:hAnsi="宋体"/>
                <w:color w:val="auto"/>
                <w:sz w:val="21"/>
                <w:highlight w:val="none"/>
              </w:rPr>
              <w:t>、</w:t>
            </w:r>
            <w:r>
              <w:rPr>
                <w:rFonts w:hint="eastAsia"/>
                <w:color w:val="auto"/>
                <w:sz w:val="21"/>
                <w:highlight w:val="none"/>
              </w:rPr>
              <w:t>评审程序、评审方法和评审标准</w:t>
            </w:r>
            <w:r>
              <w:rPr>
                <w:rFonts w:hAnsi="宋体"/>
                <w:color w:val="auto"/>
                <w:sz w:val="21"/>
                <w:highlight w:val="none"/>
              </w:rPr>
              <w:t>、</w:t>
            </w:r>
            <w:r>
              <w:rPr>
                <w:rFonts w:hint="eastAsia" w:hAnsi="宋体"/>
                <w:color w:val="auto"/>
                <w:sz w:val="21"/>
                <w:highlight w:val="none"/>
              </w:rPr>
              <w:t>响应</w:t>
            </w:r>
            <w:r>
              <w:rPr>
                <w:rFonts w:hAnsi="宋体"/>
                <w:color w:val="auto"/>
                <w:sz w:val="21"/>
                <w:highlight w:val="none"/>
              </w:rPr>
              <w:t>文件格式</w:t>
            </w:r>
            <w:r>
              <w:rPr>
                <w:rFonts w:hint="eastAsia" w:hAnsi="宋体"/>
                <w:color w:val="auto"/>
                <w:sz w:val="21"/>
                <w:highlight w:val="none"/>
              </w:rPr>
              <w:t>、合同文本</w:t>
            </w:r>
            <w:r>
              <w:rPr>
                <w:rFonts w:hAnsi="宋体"/>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highlight w:val="none"/>
              </w:rPr>
              <w:t>更正公告（澄清公告）</w:t>
            </w:r>
            <w:r>
              <w:rPr>
                <w:rFonts w:hAnsi="宋体"/>
                <w:color w:val="auto"/>
                <w:sz w:val="21"/>
                <w:highlight w:val="none"/>
              </w:rPr>
              <w:t>与同步更新的</w:t>
            </w:r>
            <w:r>
              <w:rPr>
                <w:rFonts w:hint="eastAsia" w:hAnsi="宋体"/>
                <w:color w:val="auto"/>
                <w:sz w:val="21"/>
                <w:highlight w:val="none"/>
              </w:rPr>
              <w:t>磋商文件</w:t>
            </w:r>
            <w:r>
              <w:rPr>
                <w:rFonts w:hAnsi="宋体"/>
                <w:color w:val="auto"/>
                <w:sz w:val="21"/>
                <w:highlight w:val="none"/>
              </w:rPr>
              <w:t>不一致时以</w:t>
            </w:r>
            <w:r>
              <w:rPr>
                <w:rFonts w:hint="eastAsia" w:hAnsi="宋体"/>
                <w:color w:val="auto"/>
                <w:sz w:val="21"/>
                <w:highlight w:val="none"/>
              </w:rPr>
              <w:t>更正公告（澄清公告）</w:t>
            </w:r>
            <w:r>
              <w:rPr>
                <w:rFonts w:hAnsi="宋体"/>
                <w:color w:val="auto"/>
                <w:sz w:val="21"/>
                <w:highlight w:val="none"/>
              </w:rPr>
              <w:t>为准。按本款前述规定仍不能形成结论的，由</w:t>
            </w:r>
            <w:r>
              <w:rPr>
                <w:rFonts w:hint="eastAsia" w:hAnsi="宋体"/>
                <w:color w:val="auto"/>
                <w:sz w:val="21"/>
                <w:highlight w:val="none"/>
              </w:rPr>
              <w:t>采购</w:t>
            </w:r>
            <w:r>
              <w:rPr>
                <w:rFonts w:hAnsi="宋体"/>
                <w:color w:val="auto"/>
                <w:sz w:val="21"/>
                <w:highlight w:val="none"/>
              </w:rPr>
              <w:t>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1</w:t>
            </w:r>
            <w:r>
              <w:rPr>
                <w:rFonts w:ascii="宋体" w:hAnsi="宋体" w:cs="宋体"/>
                <w:color w:val="auto"/>
                <w:szCs w:val="21"/>
                <w:highlight w:val="none"/>
              </w:rPr>
              <w:t>.2</w:t>
            </w:r>
          </w:p>
        </w:tc>
        <w:tc>
          <w:tcPr>
            <w:tcW w:w="7912" w:type="dxa"/>
            <w:noWrap w:val="0"/>
            <w:vAlign w:val="center"/>
          </w:tcPr>
          <w:p>
            <w:pPr>
              <w:pStyle w:val="16"/>
              <w:snapToGrid w:val="0"/>
              <w:spacing w:line="360" w:lineRule="auto"/>
              <w:rPr>
                <w:rFonts w:hint="eastAsia"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16"/>
              <w:snapToGrid w:val="0"/>
              <w:spacing w:line="360" w:lineRule="auto"/>
              <w:rPr>
                <w:rFonts w:hAnsi="宋体" w:cs="宋体"/>
                <w:color w:val="auto"/>
                <w:sz w:val="21"/>
                <w:highlight w:val="none"/>
              </w:rPr>
            </w:pPr>
            <w:r>
              <w:rPr>
                <w:rFonts w:hint="eastAsia" w:hAnsi="宋体" w:cs="宋体"/>
                <w:color w:val="auto"/>
                <w:sz w:val="21"/>
                <w:highlight w:val="none"/>
              </w:rPr>
              <w:t>2.供应商为</w:t>
            </w:r>
            <w:r>
              <w:rPr>
                <w:rFonts w:hint="eastAsia" w:hAnsi="宋体" w:cs="宋体"/>
                <w:color w:val="auto"/>
                <w:sz w:val="21"/>
                <w:highlight w:val="none"/>
                <w:lang w:eastAsia="zh-CN"/>
              </w:rPr>
              <w:t>非法人组织</w:t>
            </w:r>
            <w:r>
              <w:rPr>
                <w:rFonts w:hint="eastAsia" w:hAnsi="宋体" w:cs="宋体"/>
                <w:color w:val="auto"/>
                <w:sz w:val="21"/>
                <w:highlight w:val="none"/>
              </w:rPr>
              <w:t>或者自然人时，本磋商文件规定的法定代表人指负责人或者自然人。本磋商文件所称负责人是指参加竞标的</w:t>
            </w:r>
            <w:r>
              <w:rPr>
                <w:rFonts w:hint="eastAsia" w:hAnsi="宋体" w:cs="宋体"/>
                <w:color w:val="auto"/>
                <w:sz w:val="21"/>
                <w:highlight w:val="none"/>
                <w:lang w:eastAsia="zh-CN"/>
              </w:rPr>
              <w:t>非法人组织</w:t>
            </w:r>
            <w:r>
              <w:rPr>
                <w:rFonts w:hint="eastAsia" w:hAnsi="宋体" w:cs="宋体"/>
                <w:bCs/>
                <w:color w:val="auto"/>
                <w:sz w:val="21"/>
                <w:highlight w:val="none"/>
              </w:rPr>
              <w:t>营业执照或者执业许可证等证照上的</w:t>
            </w:r>
            <w:r>
              <w:rPr>
                <w:rFonts w:hint="eastAsia" w:hAnsi="宋体" w:cs="宋体"/>
                <w:color w:val="auto"/>
                <w:sz w:val="21"/>
                <w:highlight w:val="none"/>
              </w:rPr>
              <w:t>负责人，本磋商文件所称自然人指参与竞标的自然人本人，</w:t>
            </w:r>
            <w:r>
              <w:rPr>
                <w:rFonts w:hint="eastAsia" w:hAnsi="宋体" w:cs="宋体"/>
                <w:bCs/>
                <w:color w:val="auto"/>
                <w:sz w:val="21"/>
                <w:highlight w:val="none"/>
              </w:rPr>
              <w:t>且应具备独立承担民事责任能力，自然人应当为年满18岁以上成年人（十六周岁以上的未成年人，以自己的劳动收入为主要生活来源的，视为完全民事行为能力人）。</w:t>
            </w:r>
          </w:p>
          <w:p>
            <w:pPr>
              <w:pStyle w:val="16"/>
              <w:snapToGrid w:val="0"/>
              <w:spacing w:line="360" w:lineRule="auto"/>
              <w:rPr>
                <w:rFonts w:hint="eastAsia" w:hAnsi="宋体" w:cs="宋体"/>
                <w:color w:val="auto"/>
                <w:sz w:val="21"/>
                <w:highlight w:val="none"/>
              </w:rPr>
            </w:pPr>
            <w:r>
              <w:rPr>
                <w:rFonts w:hAnsi="宋体" w:cs="宋体"/>
                <w:color w:val="auto"/>
                <w:sz w:val="21"/>
                <w:highlight w:val="none"/>
              </w:rPr>
              <w:t>3.</w:t>
            </w:r>
            <w:r>
              <w:rPr>
                <w:rFonts w:hint="eastAsia" w:hAnsi="宋体" w:cs="宋体"/>
                <w:color w:val="auto"/>
                <w:sz w:val="21"/>
                <w:highlight w:val="none"/>
              </w:rPr>
              <w:t>本磋商文件中描述供应商的“签名”是指供应商的法定代表人或者委托代理人亲自在文件规定签署处亲笔写上个人的名字的行为，私章、签名章、印鉴、影印等其他形式均不能代替亲笔签名。</w:t>
            </w:r>
          </w:p>
          <w:p>
            <w:pPr>
              <w:pStyle w:val="16"/>
              <w:snapToGrid w:val="0"/>
              <w:spacing w:line="360" w:lineRule="auto"/>
              <w:rPr>
                <w:rFonts w:hAnsi="宋体" w:cs="宋体"/>
                <w:color w:val="auto"/>
                <w:sz w:val="21"/>
                <w:highlight w:val="none"/>
              </w:rPr>
            </w:pPr>
            <w:r>
              <w:rPr>
                <w:rFonts w:hAnsi="宋体" w:cs="宋体"/>
                <w:color w:val="auto"/>
                <w:sz w:val="21"/>
                <w:highlight w:val="none"/>
              </w:rPr>
              <w:t>4.</w:t>
            </w:r>
            <w:r>
              <w:rPr>
                <w:rFonts w:hint="eastAsia" w:hAnsi="宋体" w:cs="宋体"/>
                <w:color w:val="auto"/>
                <w:sz w:val="21"/>
                <w:highlight w:val="none"/>
              </w:rPr>
              <w:t>自然人竞标的，磋商文件规定盖公章处由自然人摁手指指印。</w:t>
            </w:r>
          </w:p>
          <w:p>
            <w:pPr>
              <w:pStyle w:val="16"/>
              <w:snapToGrid w:val="0"/>
              <w:spacing w:line="360" w:lineRule="auto"/>
              <w:rPr>
                <w:rFonts w:hint="eastAsia" w:hAnsi="宋体" w:cs="宋体"/>
                <w:color w:val="auto"/>
                <w:sz w:val="21"/>
                <w:highlight w:val="none"/>
              </w:rPr>
            </w:pPr>
            <w:r>
              <w:rPr>
                <w:rFonts w:hint="eastAsia" w:hAnsi="宋体" w:cs="宋体"/>
                <w:color w:val="auto"/>
                <w:sz w:val="21"/>
                <w:highlight w:val="none"/>
              </w:rPr>
              <w:t>5</w:t>
            </w:r>
            <w:r>
              <w:rPr>
                <w:rFonts w:hAnsi="宋体" w:cs="宋体"/>
                <w:color w:val="auto"/>
                <w:sz w:val="21"/>
                <w:highlight w:val="none"/>
              </w:rPr>
              <w:t>.</w:t>
            </w:r>
            <w:r>
              <w:rPr>
                <w:rFonts w:hint="eastAsia" w:hAnsi="宋体" w:cs="宋体"/>
                <w:color w:val="auto"/>
                <w:sz w:val="21"/>
                <w:highlight w:val="none"/>
              </w:rPr>
              <w:t>本磋商文件所称的“以上”“以下”“以内”“届满”，包括本数；所称的“不满”“超过”“以外”，不包括本数。</w:t>
            </w:r>
          </w:p>
        </w:tc>
      </w:tr>
    </w:tbl>
    <w:p>
      <w:pPr>
        <w:spacing w:line="400" w:lineRule="exact"/>
        <w:jc w:val="center"/>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pPr>
        <w:spacing w:line="400" w:lineRule="exact"/>
        <w:jc w:val="center"/>
        <w:rPr>
          <w:rFonts w:hint="eastAsia" w:ascii="宋体" w:hAnsi="宋体"/>
          <w:b/>
          <w:color w:val="auto"/>
          <w:sz w:val="32"/>
          <w:szCs w:val="32"/>
          <w:highlight w:val="none"/>
        </w:rPr>
      </w:pPr>
    </w:p>
    <w:p>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一、总</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则</w:t>
      </w:r>
    </w:p>
    <w:p>
      <w:pPr>
        <w:spacing w:line="400" w:lineRule="exact"/>
        <w:rPr>
          <w:rFonts w:hint="eastAsia" w:ascii="宋体" w:hAnsi="宋体"/>
          <w:color w:val="auto"/>
          <w:szCs w:val="21"/>
          <w:highlight w:val="none"/>
        </w:rPr>
      </w:pP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1.1本项目采购人</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供应商、磋商小组的相关行为均受《中华人民共和国</w:t>
      </w:r>
      <w:r>
        <w:rPr>
          <w:rFonts w:hint="eastAsia" w:ascii="宋体" w:hAnsi="宋体" w:cs="宋体"/>
          <w:color w:val="auto"/>
          <w:szCs w:val="21"/>
          <w:highlight w:val="none"/>
          <w:lang w:eastAsia="zh-CN"/>
        </w:rPr>
        <w:t>民法典</w:t>
      </w:r>
      <w:r>
        <w:rPr>
          <w:rFonts w:hint="eastAsia" w:ascii="宋体" w:hAnsi="宋体" w:cs="宋体"/>
          <w:color w:val="auto"/>
          <w:szCs w:val="21"/>
          <w:highlight w:val="none"/>
        </w:rPr>
        <w:t>》及有关法律法规的约束和保护。</w:t>
      </w:r>
    </w:p>
    <w:p>
      <w:pPr>
        <w:spacing w:line="360" w:lineRule="auto"/>
        <w:ind w:firstLine="396" w:firstLineChars="200"/>
        <w:rPr>
          <w:rFonts w:hint="eastAsia" w:ascii="宋体" w:hAnsi="宋体" w:cs="宋体"/>
          <w:color w:val="auto"/>
          <w:szCs w:val="21"/>
          <w:highlight w:val="none"/>
        </w:rPr>
      </w:pPr>
      <w:r>
        <w:rPr>
          <w:rFonts w:hint="eastAsia" w:ascii="宋体" w:hAnsi="宋体" w:cs="宋体"/>
          <w:color w:val="auto"/>
          <w:spacing w:val="-6"/>
          <w:szCs w:val="21"/>
          <w:highlight w:val="none"/>
          <w:lang w:val="en-US" w:eastAsia="zh-CN"/>
        </w:rPr>
        <w:t>1.2</w:t>
      </w:r>
      <w:r>
        <w:rPr>
          <w:rFonts w:hint="eastAsia" w:ascii="宋体" w:hAnsi="宋体" w:cs="宋体"/>
          <w:color w:val="auto"/>
          <w:spacing w:val="-6"/>
          <w:szCs w:val="21"/>
          <w:highlight w:val="none"/>
        </w:rPr>
        <w:t>本竞争性磋商文件（以下简称</w:t>
      </w:r>
      <w:r>
        <w:rPr>
          <w:rFonts w:hint="eastAsia" w:ascii="宋体" w:hAnsi="宋体" w:cs="宋体"/>
          <w:color w:val="auto"/>
          <w:spacing w:val="-6"/>
          <w:szCs w:val="21"/>
          <w:highlight w:val="none"/>
          <w:lang w:eastAsia="zh-CN"/>
        </w:rPr>
        <w:t>“</w:t>
      </w:r>
      <w:r>
        <w:rPr>
          <w:rFonts w:hint="eastAsia" w:ascii="宋体" w:hAnsi="宋体" w:cs="宋体"/>
          <w:color w:val="auto"/>
          <w:spacing w:val="-6"/>
          <w:szCs w:val="21"/>
          <w:highlight w:val="none"/>
        </w:rPr>
        <w:t>磋商文件</w:t>
      </w:r>
      <w:r>
        <w:rPr>
          <w:rFonts w:hint="eastAsia" w:ascii="宋体" w:hAnsi="宋体" w:cs="宋体"/>
          <w:color w:val="auto"/>
          <w:spacing w:val="-6"/>
          <w:szCs w:val="21"/>
          <w:highlight w:val="none"/>
          <w:lang w:eastAsia="zh-CN"/>
        </w:rPr>
        <w:t>”</w:t>
      </w:r>
      <w:r>
        <w:rPr>
          <w:rFonts w:hint="eastAsia" w:ascii="宋体" w:hAnsi="宋体" w:cs="宋体"/>
          <w:color w:val="auto"/>
          <w:spacing w:val="-6"/>
          <w:szCs w:val="21"/>
          <w:highlight w:val="none"/>
        </w:rPr>
        <w:t>）适用于本项目的所有采购程序和环节（法律、法规另有规定的，从其规定）。</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w:t>
      </w:r>
      <w:r>
        <w:rPr>
          <w:rFonts w:hint="eastAsia" w:ascii="宋体" w:hAnsi="宋体"/>
          <w:b w:val="0"/>
          <w:color w:val="auto"/>
          <w:sz w:val="21"/>
          <w:szCs w:val="21"/>
          <w:highlight w:val="none"/>
          <w:u w:val="none"/>
          <w:lang w:eastAsia="zh-CN"/>
        </w:rPr>
        <w:t>广西壮族自治区农村信用社联合社</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2.2“供应商”是指向采购人提供货物、工程或者服务的法人、</w:t>
      </w:r>
      <w:r>
        <w:rPr>
          <w:rFonts w:hint="eastAsia" w:ascii="宋体" w:hAnsi="宋体" w:cs="宋体"/>
          <w:color w:val="auto"/>
          <w:szCs w:val="21"/>
          <w:highlight w:val="none"/>
          <w:lang w:eastAsia="zh-CN"/>
        </w:rPr>
        <w:t>非法人组织</w:t>
      </w:r>
      <w:r>
        <w:rPr>
          <w:rFonts w:hint="eastAsia" w:ascii="宋体" w:hAnsi="宋体" w:cs="宋体"/>
          <w:color w:val="auto"/>
          <w:szCs w:val="21"/>
          <w:highlight w:val="none"/>
        </w:rPr>
        <w:t>或者自然人。</w:t>
      </w:r>
    </w:p>
    <w:p>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“服务”是指除货物和工程以外的其他采购对象。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“书面形式”是指合同书、信件和数据电文（包括电报、电传、传真、电子数据交换和电子邮件）等可以有形地表现所载内容的形式。</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“响应文件”</w:t>
      </w:r>
      <w:r>
        <w:rPr>
          <w:rFonts w:hint="eastAsia" w:ascii="宋体" w:hAnsi="宋体" w:cs="宋体"/>
          <w:color w:val="auto"/>
          <w:spacing w:val="-6"/>
          <w:szCs w:val="21"/>
          <w:highlight w:val="none"/>
        </w:rPr>
        <w:t>是指：供应商根据本磋商文件要求，编制包含资格证明、报价商务技术等所有内容的文件。</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“实质性要求”是指磋商文件中已经指明不满足则响应文件按无效响应处理的条款，或者不能负偏离的条款，或者采购需求中带“▲”的条款。</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“正偏离”，是指响应文件对磋商文件“采购需求”中有关条款作出的响应优于条款要求并有利于采购人的情形。</w:t>
      </w:r>
    </w:p>
    <w:p>
      <w:pPr>
        <w:spacing w:line="360" w:lineRule="auto"/>
        <w:ind w:firstLine="420" w:firstLineChars="200"/>
        <w:contextualSpacing/>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“负偏离”，是指响应文件对磋商文件“采购需求”中有关条款作出的响应不满足条款要求，导致采购人要求不能得到满足的情形。</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“允许负偏离的条款”是指采购需求中的不属于“实质性要求”的条款。</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“首次报价”是指供应商提交的首次响应文件中的报价。</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w:t>
      </w:r>
      <w:r>
        <w:rPr>
          <w:rFonts w:hint="eastAsia" w:ascii="黑体" w:hAnsi="黑体" w:eastAsia="黑体" w:cs="宋体"/>
          <w:b/>
          <w:bCs/>
          <w:color w:val="auto"/>
          <w:sz w:val="24"/>
          <w:highlight w:val="none"/>
          <w:lang w:eastAsia="zh-CN"/>
        </w:rPr>
        <w:t>竞标</w:t>
      </w:r>
      <w:r>
        <w:rPr>
          <w:rFonts w:hint="eastAsia" w:ascii="黑体" w:hAnsi="黑体" w:eastAsia="黑体" w:cs="宋体"/>
          <w:b/>
          <w:bCs/>
          <w:color w:val="auto"/>
          <w:sz w:val="24"/>
          <w:highlight w:val="none"/>
        </w:rPr>
        <w:t>费用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15" w:name="_Toc18340"/>
      <w:bookmarkStart w:id="16" w:name="_Toc254970673"/>
      <w:bookmarkStart w:id="17" w:name="_Toc254970532"/>
      <w:r>
        <w:rPr>
          <w:rFonts w:hint="eastAsia" w:ascii="宋体" w:hAnsi="宋体"/>
          <w:b w:val="0"/>
          <w:color w:val="auto"/>
          <w:sz w:val="21"/>
          <w:szCs w:val="21"/>
          <w:highlight w:val="none"/>
        </w:rPr>
        <w:t>6.1本项目不允许转包。</w:t>
      </w:r>
      <w:bookmarkEnd w:id="15"/>
    </w:p>
    <w:p>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w:t>
      </w:r>
      <w:bookmarkStart w:id="18" w:name="_Toc12858"/>
      <w:r>
        <w:rPr>
          <w:rFonts w:hint="eastAsia" w:ascii="宋体" w:hAnsi="宋体"/>
          <w:b w:val="0"/>
          <w:color w:val="auto"/>
          <w:sz w:val="21"/>
          <w:szCs w:val="21"/>
          <w:highlight w:val="none"/>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bookmarkEnd w:id="18"/>
    </w:p>
    <w:p>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w:t>
      </w:r>
      <w:bookmarkStart w:id="19" w:name="_Toc12520"/>
      <w:r>
        <w:rPr>
          <w:rFonts w:hint="eastAsia" w:ascii="宋体" w:hAnsi="宋体"/>
          <w:b w:val="0"/>
          <w:color w:val="auto"/>
          <w:sz w:val="21"/>
          <w:szCs w:val="21"/>
          <w:highlight w:val="none"/>
        </w:rPr>
        <w:t>6.3供应商根据磋商文件的规定和采购项目的实际情况，拟在成交后将成交项目的非主体、非关键性工作分包的，应当在响应文件中载明分包承担主体，分包承担主体应当具备相应资质条件且不得再次分包。</w:t>
      </w:r>
      <w:bookmarkEnd w:id="19"/>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16"/>
      <w:bookmarkEnd w:id="17"/>
    </w:p>
    <w:p>
      <w:pPr>
        <w:spacing w:line="360" w:lineRule="auto"/>
        <w:ind w:firstLine="422" w:firstLineChars="200"/>
        <w:rPr>
          <w:rFonts w:hint="eastAsia" w:ascii="宋体" w:hAnsi="宋体" w:cs="宋体"/>
          <w:b/>
          <w:bCs/>
          <w:color w:val="auto"/>
          <w:szCs w:val="21"/>
          <w:highlight w:val="none"/>
        </w:rPr>
      </w:pPr>
      <w:bookmarkStart w:id="20" w:name="_8.1提供相同品牌产品且通过资格审查、符合性审查的不同投标人参加同一合"/>
      <w:bookmarkEnd w:id="20"/>
      <w:r>
        <w:rPr>
          <w:rFonts w:hint="eastAsia" w:ascii="宋体" w:hAnsi="宋体" w:cs="Times New Roman"/>
          <w:b/>
          <w:bCs/>
          <w:color w:val="auto"/>
          <w:szCs w:val="21"/>
          <w:highlight w:val="none"/>
        </w:rPr>
        <w:t>7.1</w:t>
      </w:r>
      <w:bookmarkStart w:id="21" w:name="_Hlk65832145"/>
      <w:r>
        <w:rPr>
          <w:rFonts w:hint="eastAsia" w:ascii="宋体" w:hAnsi="宋体"/>
          <w:b/>
          <w:bCs/>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b/>
          <w:bCs/>
          <w:color w:val="auto"/>
          <w:szCs w:val="21"/>
          <w:highlight w:val="none"/>
        </w:rPr>
        <w:t>。</w:t>
      </w:r>
    </w:p>
    <w:bookmarkEnd w:id="21"/>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供应商在竞标活动中提供任何疑似虚假材料，其响应文件按无效处理，</w:t>
      </w:r>
      <w:r>
        <w:rPr>
          <w:rFonts w:hint="eastAsia" w:ascii="宋体" w:hAnsi="宋体" w:cs="宋体"/>
          <w:color w:val="auto"/>
          <w:szCs w:val="21"/>
          <w:highlight w:val="none"/>
          <w:lang w:eastAsia="zh-CN"/>
        </w:rPr>
        <w:t>采购人有权</w:t>
      </w:r>
      <w:r>
        <w:rPr>
          <w:rFonts w:hint="eastAsia" w:ascii="宋体" w:hAnsi="宋体" w:cs="宋体"/>
          <w:b/>
          <w:bCs/>
          <w:color w:val="auto"/>
          <w:szCs w:val="21"/>
          <w:highlight w:val="none"/>
        </w:rPr>
        <w:t>报监管部门查处；</w:t>
      </w:r>
      <w:r>
        <w:rPr>
          <w:rFonts w:hint="eastAsia" w:ascii="宋体" w:hAnsi="宋体" w:cs="宋体"/>
          <w:color w:val="auto"/>
          <w:szCs w:val="21"/>
          <w:highlight w:val="none"/>
        </w:rPr>
        <w:t>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在采购活动中，采购人员及相关人员与供应商有下列利害关系之一的，应当回避：</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（2）参加采购活动前3年内担任供应商的董事、监事、总经理或财务管理人员；</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（5）与供应商有其他可能影响采购活动公平、公正进行的关系。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供应商认为采购人员及相关人员与其他供应商有利害关系的，可以向采购人书面提出回避申请，并说明理由。采购人</w:t>
      </w:r>
      <w:r>
        <w:rPr>
          <w:rFonts w:hint="eastAsia" w:ascii="宋体" w:hAnsi="宋体" w:cs="宋体"/>
          <w:color w:val="auto"/>
          <w:szCs w:val="21"/>
          <w:highlight w:val="none"/>
          <w:lang w:eastAsia="zh-CN"/>
        </w:rPr>
        <w:t>应当</w:t>
      </w:r>
      <w:r>
        <w:rPr>
          <w:rFonts w:hint="eastAsia" w:ascii="宋体" w:hAnsi="宋体" w:cs="宋体"/>
          <w:color w:val="auto"/>
          <w:szCs w:val="21"/>
          <w:highlight w:val="none"/>
        </w:rPr>
        <w:t>及时询问被申请回避人员，有利害关系的被申请回避人员应当回避。</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7.</w:t>
      </w:r>
      <w:r>
        <w:rPr>
          <w:rFonts w:ascii="宋体" w:hAnsi="宋体" w:cs="宋体"/>
          <w:b/>
          <w:bCs/>
          <w:color w:val="auto"/>
          <w:szCs w:val="21"/>
          <w:highlight w:val="none"/>
        </w:rPr>
        <w:t>5</w:t>
      </w:r>
      <w:r>
        <w:rPr>
          <w:rFonts w:hint="eastAsia" w:ascii="宋体" w:hAnsi="宋体" w:cs="宋体"/>
          <w:b/>
          <w:bCs/>
          <w:color w:val="auto"/>
          <w:szCs w:val="21"/>
          <w:highlight w:val="none"/>
        </w:rPr>
        <w:t>有下列情形之一的</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视为供应商相互串通竞标，响应文件将被视为无效：</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（1）不同供应商的响应文件由同一单位或者个人编制； </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（2）不同供应商委托同一单位或者个人办理竞标事宜；</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（3）不同的供应商的响应文件载明的项目管理员为同一个人；</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（4）不同供应商的响应文件异常一致或者报价呈规律性差异；</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（5）不同供应商的响应文件相互混装；</w:t>
      </w:r>
    </w:p>
    <w:p>
      <w:pPr>
        <w:tabs>
          <w:tab w:val="left" w:pos="6931"/>
        </w:tabs>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（6）不同供应商的磋商保证金从同一单位或者个人账户转出。</w:t>
      </w:r>
      <w:r>
        <w:rPr>
          <w:rFonts w:ascii="宋体" w:hAnsi="宋体" w:cs="宋体"/>
          <w:color w:val="auto"/>
          <w:szCs w:val="21"/>
          <w:highlight w:val="none"/>
        </w:rPr>
        <w:tab/>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w:t>
      </w:r>
      <w:r>
        <w:rPr>
          <w:rFonts w:hint="eastAsia" w:ascii="宋体" w:hAnsi="宋体" w:cs="宋体"/>
          <w:color w:val="auto"/>
          <w:szCs w:val="21"/>
          <w:highlight w:val="none"/>
          <w:lang w:eastAsia="zh-CN"/>
        </w:rPr>
        <w:t>，采购人有权</w:t>
      </w:r>
      <w:r>
        <w:rPr>
          <w:rFonts w:hint="eastAsia" w:ascii="宋体" w:hAnsi="宋体" w:cs="宋体"/>
          <w:color w:val="auto"/>
          <w:szCs w:val="21"/>
          <w:highlight w:val="none"/>
          <w:lang w:val="en-US" w:eastAsia="zh-CN"/>
        </w:rPr>
        <w:t>追究供应商或相关人员的法律责任</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（1）供应商直接或者间接从采购人处获得其他供应商的相关信息并修改其响应文件；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（2）供应商按照采购人的授意撤换、修改响应文件；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（4）属于同一集团、协会、商会等组织成员的供应商按照该组织要求协同参加采购活动；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（5）供应商之间事先约定一致抬高或者压低报价，或者在采购活动中事先约定轮流以高价位或者低价位成交，或者事先约定由某一特定供应商成交，然后再参加竞标；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（6）供应商之间商定部分供应商放弃参加采购活动或者放弃成交；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（7）供应商与采购人之间、供应商相互之间，为谋求特定供应商成交或者排斥其他供应商的其他串通行为。</w:t>
      </w:r>
    </w:p>
    <w:p>
      <w:pPr>
        <w:spacing w:line="360" w:lineRule="auto"/>
        <w:ind w:firstLine="420" w:firstLineChars="200"/>
        <w:rPr>
          <w:rFonts w:hint="eastAsia" w:ascii="宋体" w:hAnsi="宋体" w:cs="宋体"/>
          <w:color w:val="auto"/>
          <w:szCs w:val="21"/>
          <w:highlight w:val="none"/>
        </w:rPr>
      </w:pPr>
    </w:p>
    <w:p>
      <w:pPr>
        <w:spacing w:line="360" w:lineRule="auto"/>
        <w:ind w:left="1" w:firstLine="417" w:firstLineChars="199"/>
        <w:jc w:val="center"/>
        <w:rPr>
          <w:rFonts w:hint="eastAsia" w:ascii="宋体" w:hAnsi="宋体"/>
          <w:color w:val="auto"/>
          <w:highlight w:val="none"/>
        </w:rPr>
      </w:pPr>
      <w:bookmarkStart w:id="22" w:name="_Toc254970534"/>
      <w:bookmarkStart w:id="23" w:name="_Toc254970675"/>
    </w:p>
    <w:p>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二、磋商文件</w:t>
      </w:r>
      <w:bookmarkEnd w:id="22"/>
      <w:bookmarkEnd w:id="23"/>
    </w:p>
    <w:p>
      <w:pPr>
        <w:spacing w:line="360" w:lineRule="auto"/>
        <w:rPr>
          <w:rFonts w:hint="eastAsia" w:ascii="宋体" w:hAnsi="宋体"/>
          <w:color w:val="auto"/>
          <w:szCs w:val="21"/>
          <w:highlight w:val="none"/>
        </w:rPr>
      </w:pP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pPr>
        <w:spacing w:line="360" w:lineRule="auto"/>
        <w:ind w:firstLine="420" w:firstLineChars="200"/>
        <w:jc w:val="left"/>
        <w:rPr>
          <w:rFonts w:hint="eastAsia" w:ascii="宋体" w:hAnsi="宋体"/>
          <w:i w:val="0"/>
          <w:iCs w:val="0"/>
          <w:color w:val="auto"/>
          <w:szCs w:val="21"/>
          <w:highlight w:val="none"/>
        </w:rPr>
      </w:pPr>
      <w:r>
        <w:rPr>
          <w:rFonts w:hint="eastAsia" w:ascii="宋体" w:hAnsi="宋体"/>
          <w:i w:val="0"/>
          <w:iCs w:val="0"/>
          <w:color w:val="auto"/>
          <w:szCs w:val="21"/>
          <w:highlight w:val="none"/>
        </w:rPr>
        <w:t>（1）</w:t>
      </w:r>
      <w:r>
        <w:rPr>
          <w:rFonts w:hint="eastAsia" w:ascii="宋体" w:hAnsi="宋体"/>
          <w:color w:val="auto"/>
          <w:szCs w:val="21"/>
          <w:highlight w:val="none"/>
        </w:rPr>
        <w:t>竞争性磋商公告/竞标邀请函；</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（2）供应商须知； </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（3）采购需求；</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（4）评审程序、评审方法和评审标准；</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（5）响应文件格式；</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（6）合同文本。</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供应商应认真阅读磋商文件的采购需求，供应商对磋商文件有疑问的，如要求采购人作出澄清或者修改的，供应商尽可能在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w:t>
      </w:r>
      <w:r>
        <w:rPr>
          <w:rFonts w:hint="eastAsia" w:ascii="宋体" w:hAnsi="宋体"/>
          <w:color w:val="auto"/>
          <w:szCs w:val="21"/>
          <w:highlight w:val="none"/>
        </w:rPr>
        <w:t>提出。</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pPr>
        <w:spacing w:line="360" w:lineRule="auto"/>
        <w:ind w:firstLine="420" w:firstLineChars="200"/>
        <w:rPr>
          <w:rFonts w:hint="eastAsia" w:ascii="宋体" w:hAnsi="宋体" w:eastAsia="宋体"/>
          <w:color w:val="auto"/>
          <w:szCs w:val="21"/>
          <w:highlight w:val="none"/>
          <w:lang w:val="en-US" w:eastAsia="zh-CN"/>
        </w:rPr>
      </w:pPr>
      <w:r>
        <w:rPr>
          <w:rFonts w:ascii="宋体" w:hAnsi="宋体"/>
          <w:color w:val="auto"/>
          <w:szCs w:val="21"/>
          <w:highlight w:val="none"/>
        </w:rPr>
        <w:t>提交首次响应文件截止之日前，采购人可以对已发出的磋商文件进行必要的澄清或者修改，澄清或者修改的内容作为磋商文件的组成部分。澄清或者修改的内容可能影响响应文件编制的，采购人在提交首次响应文件截止之日</w:t>
      </w:r>
      <w:r>
        <w:rPr>
          <w:rFonts w:hint="eastAsia" w:ascii="宋体" w:hAnsi="宋体"/>
          <w:color w:val="auto"/>
          <w:szCs w:val="21"/>
          <w:highlight w:val="none"/>
          <w:lang w:val="en-US" w:eastAsia="zh-CN"/>
        </w:rPr>
        <w:t>5</w:t>
      </w:r>
      <w:r>
        <w:rPr>
          <w:rFonts w:ascii="宋体" w:hAnsi="宋体"/>
          <w:color w:val="auto"/>
          <w:szCs w:val="21"/>
          <w:highlight w:val="none"/>
        </w:rPr>
        <w:t>个工作日前，以书面形式通知所有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w:t>
      </w:r>
      <w:r>
        <w:rPr>
          <w:rFonts w:hint="eastAsia" w:ascii="宋体" w:hAnsi="宋体"/>
          <w:color w:val="auto"/>
          <w:szCs w:val="21"/>
          <w:highlight w:val="none"/>
          <w:lang w:val="en-US" w:eastAsia="zh-CN"/>
        </w:rPr>
        <w:t>5</w:t>
      </w:r>
      <w:r>
        <w:rPr>
          <w:rFonts w:ascii="宋体" w:hAnsi="宋体"/>
          <w:color w:val="auto"/>
          <w:szCs w:val="21"/>
          <w:highlight w:val="none"/>
        </w:rPr>
        <w:t>个工作日的，</w:t>
      </w:r>
      <w:r>
        <w:rPr>
          <w:rFonts w:hint="eastAsia" w:ascii="宋体" w:hAnsi="宋体"/>
          <w:color w:val="auto"/>
          <w:szCs w:val="21"/>
          <w:highlight w:val="none"/>
          <w:lang w:eastAsia="zh-CN"/>
        </w:rPr>
        <w:t>应当</w:t>
      </w:r>
      <w:r>
        <w:rPr>
          <w:rFonts w:ascii="宋体" w:hAnsi="宋体"/>
          <w:color w:val="auto"/>
          <w:szCs w:val="21"/>
          <w:highlight w:val="none"/>
        </w:rPr>
        <w:t>顺延提交首次响应文件截止之日。</w:t>
      </w:r>
    </w:p>
    <w:p>
      <w:pPr>
        <w:spacing w:line="360" w:lineRule="auto"/>
        <w:rPr>
          <w:rFonts w:hint="eastAsia" w:ascii="宋体" w:hAnsi="宋体"/>
          <w:color w:val="auto"/>
          <w:szCs w:val="21"/>
          <w:highlight w:val="none"/>
        </w:rPr>
      </w:pPr>
    </w:p>
    <w:p>
      <w:pPr>
        <w:spacing w:line="360" w:lineRule="auto"/>
        <w:jc w:val="center"/>
        <w:rPr>
          <w:rFonts w:hint="eastAsia" w:ascii="宋体" w:hAnsi="宋体"/>
          <w:b/>
          <w:bCs/>
          <w:color w:val="auto"/>
          <w:szCs w:val="21"/>
          <w:highlight w:val="none"/>
        </w:rPr>
      </w:pPr>
      <w:r>
        <w:rPr>
          <w:rFonts w:hint="eastAsia" w:ascii="宋体" w:hAnsi="宋体"/>
          <w:b/>
          <w:bCs/>
          <w:color w:val="auto"/>
          <w:sz w:val="32"/>
          <w:szCs w:val="32"/>
          <w:highlight w:val="none"/>
        </w:rPr>
        <w:t>三、响应文件的编制</w:t>
      </w:r>
    </w:p>
    <w:p>
      <w:pPr>
        <w:spacing w:line="360" w:lineRule="auto"/>
        <w:rPr>
          <w:rFonts w:hint="eastAsia" w:ascii="宋体" w:hAnsi="宋体"/>
          <w:color w:val="auto"/>
          <w:szCs w:val="21"/>
          <w:highlight w:val="none"/>
        </w:rPr>
      </w:pP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12.1响应文件由资格证明文件、报价商务技术文件两部分组成。</w:t>
      </w:r>
    </w:p>
    <w:p>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2.1.1</w:t>
      </w:r>
      <w:r>
        <w:rPr>
          <w:rFonts w:hint="eastAsia" w:ascii="宋体" w:hAnsi="宋体" w:cs="宋体"/>
          <w:color w:val="auto"/>
          <w:szCs w:val="21"/>
          <w:highlight w:val="none"/>
        </w:rPr>
        <w:t>资格证明文件：详见须知前附表</w:t>
      </w:r>
    </w:p>
    <w:p>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2.1.2</w:t>
      </w:r>
      <w:r>
        <w:rPr>
          <w:rFonts w:hint="eastAsia" w:ascii="宋体" w:hAnsi="宋体" w:cs="宋体"/>
          <w:color w:val="auto"/>
          <w:szCs w:val="21"/>
          <w:highlight w:val="none"/>
        </w:rPr>
        <w:t>报价商务技术文件：详见须知前附表</w:t>
      </w:r>
    </w:p>
    <w:p>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2</w:t>
      </w:r>
      <w:r>
        <w:rPr>
          <w:rFonts w:hint="eastAsia" w:ascii="宋体" w:hAnsi="宋体" w:cs="宋体"/>
          <w:color w:val="auto"/>
          <w:szCs w:val="21"/>
          <w:highlight w:val="none"/>
        </w:rPr>
        <w:t>响应文件电子版：详见须知前附表</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pPr>
        <w:spacing w:line="360" w:lineRule="auto"/>
        <w:ind w:left="426" w:leftChars="203"/>
        <w:rPr>
          <w:rFonts w:hint="eastAsia" w:ascii="宋体" w:hAnsi="宋体" w:cs="宋体"/>
          <w:color w:val="auto"/>
          <w:szCs w:val="21"/>
          <w:highlight w:val="none"/>
        </w:rPr>
      </w:pPr>
      <w:r>
        <w:rPr>
          <w:rFonts w:hint="eastAsia" w:ascii="宋体" w:hAnsi="宋体" w:cs="宋体"/>
          <w:color w:val="auto"/>
          <w:szCs w:val="21"/>
          <w:highlight w:val="none"/>
        </w:rPr>
        <w:t>15.3竞标报价要求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pPr>
        <w:numPr>
          <w:ilvl w:val="0"/>
          <w:numId w:val="1"/>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供应商必须就“采购需求”中所竞标的（含每个分标，如有）全部内容分别作完整唯一总价报价，不得存在漏项报价；</w:t>
      </w:r>
    </w:p>
    <w:p>
      <w:pPr>
        <w:numPr>
          <w:ilvl w:val="0"/>
          <w:numId w:val="1"/>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供应商必须就所竞标</w:t>
      </w:r>
      <w:r>
        <w:rPr>
          <w:rFonts w:hint="eastAsia" w:ascii="宋体" w:hAnsi="宋体" w:cs="宋体"/>
          <w:color w:val="auto"/>
          <w:szCs w:val="21"/>
          <w:highlight w:val="none"/>
          <w:lang w:eastAsia="zh-CN"/>
        </w:rPr>
        <w:t>的（含</w:t>
      </w:r>
      <w:r>
        <w:rPr>
          <w:rFonts w:hint="eastAsia" w:ascii="宋体" w:hAnsi="宋体" w:cs="宋体"/>
          <w:color w:val="auto"/>
          <w:szCs w:val="21"/>
          <w:highlight w:val="none"/>
        </w:rPr>
        <w:t>分标</w:t>
      </w:r>
      <w:r>
        <w:rPr>
          <w:rFonts w:hint="eastAsia" w:ascii="宋体" w:hAnsi="宋体" w:cs="宋体"/>
          <w:color w:val="auto"/>
          <w:szCs w:val="21"/>
          <w:highlight w:val="none"/>
          <w:lang w:eastAsia="zh-CN"/>
        </w:rPr>
        <w:t>，如有）</w:t>
      </w:r>
      <w:r>
        <w:rPr>
          <w:rFonts w:hint="eastAsia" w:ascii="宋体" w:hAnsi="宋体" w:cs="宋体"/>
          <w:color w:val="auto"/>
          <w:szCs w:val="21"/>
          <w:highlight w:val="none"/>
        </w:rPr>
        <w:t>的单项内容作唯一报价。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最后报价超过所竞标</w:t>
      </w:r>
      <w:r>
        <w:rPr>
          <w:rFonts w:hint="eastAsia" w:ascii="宋体" w:hAnsi="宋体" w:cs="宋体"/>
          <w:color w:val="auto"/>
          <w:szCs w:val="21"/>
          <w:highlight w:val="none"/>
          <w:lang w:eastAsia="zh-CN"/>
        </w:rPr>
        <w:t>（含</w:t>
      </w:r>
      <w:r>
        <w:rPr>
          <w:rFonts w:hint="eastAsia" w:ascii="宋体" w:hAnsi="宋体" w:cs="宋体"/>
          <w:color w:val="auto"/>
          <w:szCs w:val="21"/>
          <w:highlight w:val="none"/>
        </w:rPr>
        <w:t>分标</w:t>
      </w:r>
      <w:r>
        <w:rPr>
          <w:rFonts w:hint="eastAsia" w:ascii="宋体" w:hAnsi="宋体" w:cs="宋体"/>
          <w:color w:val="auto"/>
          <w:szCs w:val="21"/>
          <w:highlight w:val="none"/>
          <w:lang w:eastAsia="zh-CN"/>
        </w:rPr>
        <w:t>，如有）</w:t>
      </w:r>
      <w:r>
        <w:rPr>
          <w:rFonts w:hint="eastAsia" w:ascii="宋体" w:hAnsi="宋体" w:cs="宋体"/>
          <w:color w:val="auto"/>
          <w:szCs w:val="21"/>
          <w:highlight w:val="none"/>
        </w:rPr>
        <w:t>规定的采购预算金额或者最高限价的，其响应文件将按无效处理。</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17.2磋商保证金的退还</w:t>
      </w:r>
    </w:p>
    <w:p>
      <w:pPr>
        <w:spacing w:line="360" w:lineRule="auto"/>
        <w:ind w:firstLine="422" w:firstLineChars="200"/>
        <w:rPr>
          <w:rFonts w:hint="eastAsia" w:ascii="宋体" w:hAnsi="宋体" w:cs="宋体"/>
          <w:b/>
          <w:bCs/>
          <w:color w:val="auto"/>
          <w:szCs w:val="21"/>
          <w:highlight w:val="none"/>
        </w:rPr>
      </w:pPr>
      <w:bookmarkStart w:id="24" w:name="_Hlk66782243"/>
      <w:r>
        <w:rPr>
          <w:rFonts w:hint="eastAsia" w:ascii="宋体" w:hAnsi="宋体" w:cs="宋体"/>
          <w:b/>
          <w:bCs/>
          <w:color w:val="auto"/>
          <w:szCs w:val="21"/>
          <w:highlight w:val="none"/>
        </w:rPr>
        <w:t>未</w:t>
      </w:r>
      <w:r>
        <w:rPr>
          <w:rFonts w:hint="eastAsia" w:ascii="宋体" w:hAnsi="宋体" w:cs="宋体"/>
          <w:b/>
          <w:bCs/>
          <w:color w:val="auto"/>
          <w:spacing w:val="-6"/>
          <w:szCs w:val="21"/>
          <w:highlight w:val="none"/>
        </w:rPr>
        <w:t>成交供应商的</w:t>
      </w:r>
      <w:r>
        <w:rPr>
          <w:rFonts w:hint="eastAsia" w:ascii="宋体" w:hAnsi="宋体" w:cs="宋体"/>
          <w:b/>
          <w:bCs/>
          <w:color w:val="auto"/>
          <w:spacing w:val="-6"/>
          <w:szCs w:val="21"/>
          <w:highlight w:val="none"/>
          <w:lang w:val="en-US" w:eastAsia="zh-CN"/>
        </w:rPr>
        <w:t>磋商</w:t>
      </w:r>
      <w:r>
        <w:rPr>
          <w:rFonts w:hint="eastAsia" w:ascii="宋体" w:hAnsi="宋体" w:cs="宋体"/>
          <w:b/>
          <w:bCs/>
          <w:color w:val="auto"/>
          <w:spacing w:val="-6"/>
          <w:szCs w:val="21"/>
          <w:highlight w:val="none"/>
        </w:rPr>
        <w:t>保证金自成交通知书发出之日起5个工作日内退还；</w:t>
      </w:r>
      <w:r>
        <w:rPr>
          <w:rFonts w:hint="eastAsia" w:ascii="宋体" w:hAnsi="宋体" w:cs="宋体"/>
          <w:b/>
          <w:bCs/>
          <w:color w:val="auto"/>
          <w:szCs w:val="21"/>
          <w:highlight w:val="none"/>
        </w:rPr>
        <w:t>成交供应商的磋商保证金自签订合同之日起5个工作日内退还。</w:t>
      </w:r>
      <w:bookmarkEnd w:id="24"/>
      <w:r>
        <w:rPr>
          <w:rFonts w:hint="eastAsia" w:ascii="宋体" w:hAnsi="宋体" w:cs="宋体"/>
          <w:b/>
          <w:bCs/>
          <w:color w:val="auto"/>
          <w:szCs w:val="21"/>
          <w:highlight w:val="none"/>
        </w:rPr>
        <w:t xml:space="preserve"> </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17.3磋商保证金不计息。</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pPr>
        <w:spacing w:line="360" w:lineRule="auto"/>
        <w:ind w:left="420" w:leftChars="200"/>
        <w:rPr>
          <w:rFonts w:ascii="宋体" w:hAnsi="宋体" w:cs="宋体"/>
          <w:color w:val="auto"/>
          <w:szCs w:val="21"/>
          <w:highlight w:val="none"/>
        </w:rPr>
      </w:pPr>
      <w:r>
        <w:rPr>
          <w:rFonts w:hint="eastAsia" w:ascii="宋体" w:hAnsi="宋体"/>
          <w:color w:val="auto"/>
          <w:szCs w:val="21"/>
          <w:highlight w:val="none"/>
        </w:rPr>
        <w:t>（2）未按规定提交履约保证金的；</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（3）供应商在</w:t>
      </w:r>
      <w:r>
        <w:rPr>
          <w:rFonts w:hint="eastAsia" w:ascii="宋体" w:hAnsi="宋体" w:cs="宋体"/>
          <w:color w:val="auto"/>
          <w:szCs w:val="21"/>
          <w:highlight w:val="none"/>
          <w:lang w:eastAsia="zh-CN"/>
        </w:rPr>
        <w:t>竞标过程中</w:t>
      </w:r>
      <w:r>
        <w:rPr>
          <w:rFonts w:hint="eastAsia" w:ascii="宋体" w:hAnsi="宋体"/>
          <w:color w:val="auto"/>
          <w:szCs w:val="21"/>
          <w:highlight w:val="none"/>
        </w:rPr>
        <w:t>弄虚作假，</w:t>
      </w:r>
      <w:r>
        <w:rPr>
          <w:rFonts w:hint="eastAsia" w:ascii="宋体" w:hAnsi="宋体"/>
          <w:color w:val="auto"/>
          <w:szCs w:val="21"/>
          <w:highlight w:val="none"/>
          <w:lang w:eastAsia="zh-CN"/>
        </w:rPr>
        <w:t>或在</w:t>
      </w:r>
      <w:r>
        <w:rPr>
          <w:rFonts w:hint="eastAsia" w:ascii="宋体" w:hAnsi="宋体" w:cs="宋体"/>
          <w:color w:val="auto"/>
          <w:szCs w:val="21"/>
          <w:highlight w:val="none"/>
        </w:rPr>
        <w:t>响应文件中提供虚假材料的；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（5）供应商</w:t>
      </w:r>
      <w:r>
        <w:rPr>
          <w:rFonts w:hint="eastAsia" w:ascii="宋体" w:hAnsi="宋体" w:cs="宋体"/>
          <w:color w:val="auto"/>
          <w:szCs w:val="21"/>
          <w:highlight w:val="none"/>
          <w:lang w:eastAsia="zh-CN"/>
        </w:rPr>
        <w:t>出现本章第</w:t>
      </w:r>
      <w:r>
        <w:rPr>
          <w:rFonts w:hint="eastAsia" w:ascii="宋体" w:hAnsi="宋体" w:cs="宋体"/>
          <w:color w:val="auto"/>
          <w:szCs w:val="21"/>
          <w:highlight w:val="none"/>
          <w:lang w:val="en-US" w:eastAsia="zh-CN"/>
        </w:rPr>
        <w:t>7.5条、第7.6条情形的</w:t>
      </w:r>
      <w:r>
        <w:rPr>
          <w:rFonts w:hint="eastAsia" w:ascii="宋体" w:hAnsi="宋体" w:cs="宋体"/>
          <w:color w:val="auto"/>
          <w:szCs w:val="21"/>
          <w:highlight w:val="none"/>
        </w:rPr>
        <w:t>；</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（6）法律法规规定的其他情形。</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18.1供应商应按本磋商文件规定的格式和顺序编制、装订响应文件并标注页码，响应文件内容</w:t>
      </w:r>
      <w:r>
        <w:rPr>
          <w:rFonts w:hint="eastAsia" w:ascii="宋体" w:hAnsi="宋体" w:cs="宋体"/>
          <w:color w:val="auto"/>
          <w:spacing w:val="-6"/>
          <w:szCs w:val="21"/>
          <w:highlight w:val="none"/>
        </w:rPr>
        <w:t>不完整、编排混乱导致响应文件被误读、漏读或者查找不到相关内容的，</w:t>
      </w:r>
      <w:r>
        <w:rPr>
          <w:rFonts w:hint="eastAsia" w:ascii="宋体" w:hAnsi="宋体"/>
          <w:color w:val="auto"/>
          <w:highlight w:val="none"/>
        </w:rPr>
        <w:t>由此引发的</w:t>
      </w:r>
      <w:r>
        <w:rPr>
          <w:rFonts w:hint="eastAsia" w:ascii="宋体" w:hAnsi="宋体" w:cs="宋体"/>
          <w:color w:val="auto"/>
          <w:spacing w:val="-6"/>
          <w:szCs w:val="21"/>
          <w:highlight w:val="none"/>
        </w:rPr>
        <w:t>后果由供应商承担。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响应文件应按资格证明文件、报价商务技术文件分别编制，资格证明文件、报价商务技术文件按顺序装订成册。响应文件正本一份，副本份数详见“供应商须知前附表”，响应文件的封面应注明“正本”、“副本”字样，提供响应文件正、副本数量不足的将按无效响应处理。由于响应文件装订松散而造成的丢失或者其他情况导致的不利后果由供应商自行承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18.3响应文件的正本应打印或者用不褪色的墨水填写，响应文件正本除本“供应商须知”中规定的可提供复印件外均须提供原件，副本可为正本签名、盖章后的复印件，当副本和正本不一致时，以正本为准。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w:t>
      </w:r>
      <w:bookmarkStart w:id="25" w:name="_Hlk65832699"/>
      <w:r>
        <w:rPr>
          <w:rFonts w:hint="eastAsia" w:ascii="宋体" w:hAnsi="宋体"/>
          <w:color w:val="auto"/>
          <w:szCs w:val="21"/>
          <w:highlight w:val="none"/>
        </w:rPr>
        <w:t>响应文件须由供应商在规定位置盖公章并签</w:t>
      </w:r>
      <w:bookmarkStart w:id="26" w:name="_Hlk65832569"/>
      <w:r>
        <w:rPr>
          <w:rFonts w:hint="eastAsia" w:ascii="宋体" w:hAnsi="宋体"/>
          <w:color w:val="auto"/>
          <w:szCs w:val="21"/>
          <w:highlight w:val="none"/>
        </w:rPr>
        <w:t>名（具体以供应商须知前附表或响应文件格式规定为准）</w:t>
      </w:r>
      <w:bookmarkEnd w:id="25"/>
      <w:bookmarkEnd w:id="26"/>
      <w:r>
        <w:rPr>
          <w:rFonts w:hint="eastAsia" w:ascii="宋体" w:hAnsi="宋体" w:cs="宋体"/>
          <w:color w:val="auto"/>
          <w:szCs w:val="21"/>
          <w:highlight w:val="none"/>
        </w:rPr>
        <w:t>，否则其响应文件按无效响应处理。骑缝盖公章不视为在规定位置盖章。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18.5响应文件中标注的供应商名称应与营业执照（事业单位法人证书、执业许可证、自然人身份证）及公章一致，否则其响应文件按无效响应处理。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18.6响应文件应尽量避免涂改、行间插字或者删除。如果出现上述情况，改动之处应由供应商的法定代表人或者其委托代理人签名或者加盖公章。响应文件因涂改、行间插字或者删除导致字迹潦草或者表达不清所引起的后果由供应商承担。</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19.响应文件的密封和标记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19.1响应文件正、副本全部装入一个或者多个包封袋/箱（响应文件的补充、修改可另行单独递交）中并加以密封，封口处必须加盖供应商公章或者</w:t>
      </w:r>
      <w:r>
        <w:rPr>
          <w:rFonts w:hint="eastAsia" w:ascii="宋体" w:hAnsi="宋体" w:cs="宋体"/>
          <w:color w:val="auto"/>
          <w:highlight w:val="none"/>
        </w:rPr>
        <w:t>法定代表人签名</w:t>
      </w:r>
      <w:r>
        <w:rPr>
          <w:rFonts w:hint="eastAsia" w:ascii="宋体" w:hAnsi="宋体" w:cs="宋体"/>
          <w:color w:val="auto"/>
          <w:szCs w:val="21"/>
          <w:highlight w:val="none"/>
        </w:rPr>
        <w:t>或者委托代理人签名，以示密封</w:t>
      </w:r>
      <w:r>
        <w:rPr>
          <w:rFonts w:hint="eastAsia" w:ascii="宋体" w:hAnsi="宋体"/>
          <w:b/>
          <w:color w:val="auto"/>
          <w:szCs w:val="21"/>
          <w:highlight w:val="none"/>
        </w:rPr>
        <w:t>（密封要求达到不泄露供应商响应文件实质性内容为合格）</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19.2响应文件外层包装封面上应标记“项目名称、项目编号、供应商名称、所竞分标</w:t>
      </w:r>
      <w:r>
        <w:rPr>
          <w:rFonts w:hint="eastAsia" w:ascii="宋体" w:hAnsi="宋体" w:cs="宋体"/>
          <w:color w:val="auto"/>
          <w:szCs w:val="21"/>
          <w:highlight w:val="none"/>
          <w:lang w:eastAsia="zh-CN"/>
        </w:rPr>
        <w:t>（如有）</w:t>
      </w:r>
      <w:r>
        <w:rPr>
          <w:rFonts w:hint="eastAsia" w:ascii="宋体" w:hAnsi="宋体" w:cs="宋体"/>
          <w:color w:val="auto"/>
          <w:szCs w:val="21"/>
          <w:highlight w:val="none"/>
        </w:rPr>
        <w:t>、响应文件提交截止时间前不得启封”字样。</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20.2采购</w:t>
      </w:r>
      <w:r>
        <w:rPr>
          <w:rFonts w:hint="eastAsia" w:ascii="宋体" w:hAnsi="宋体" w:cs="宋体"/>
          <w:color w:val="auto"/>
          <w:szCs w:val="21"/>
          <w:highlight w:val="none"/>
          <w:lang w:eastAsia="zh-CN"/>
        </w:rPr>
        <w:t>人</w:t>
      </w:r>
      <w:r>
        <w:rPr>
          <w:rFonts w:hint="eastAsia" w:ascii="宋体" w:hAnsi="宋体" w:cs="宋体"/>
          <w:color w:val="auto"/>
          <w:szCs w:val="21"/>
          <w:highlight w:val="none"/>
        </w:rPr>
        <w:t>工作人员收到响应文件后，</w:t>
      </w:r>
      <w:r>
        <w:rPr>
          <w:rFonts w:hint="eastAsia" w:ascii="宋体" w:hAnsi="宋体" w:cs="宋体"/>
          <w:color w:val="auto"/>
          <w:szCs w:val="21"/>
          <w:highlight w:val="none"/>
          <w:lang w:eastAsia="zh-CN"/>
        </w:rPr>
        <w:t>应</w:t>
      </w:r>
      <w:r>
        <w:rPr>
          <w:rFonts w:hint="eastAsia" w:ascii="宋体" w:hAnsi="宋体" w:cs="宋体"/>
          <w:color w:val="auto"/>
          <w:szCs w:val="21"/>
          <w:highlight w:val="none"/>
        </w:rPr>
        <w:t>如实记载响应文件的密封情况。</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20.3在</w:t>
      </w:r>
      <w:r>
        <w:rPr>
          <w:rFonts w:hint="eastAsia" w:ascii="宋体" w:hAnsi="宋体"/>
          <w:color w:val="auto"/>
          <w:szCs w:val="21"/>
          <w:highlight w:val="none"/>
        </w:rPr>
        <w:t>响应文件提交截止时间</w:t>
      </w:r>
      <w:r>
        <w:rPr>
          <w:rFonts w:hint="eastAsia" w:ascii="宋体" w:hAnsi="宋体" w:cs="宋体"/>
          <w:color w:val="auto"/>
          <w:szCs w:val="21"/>
          <w:highlight w:val="none"/>
        </w:rPr>
        <w:t>后送达的或者</w:t>
      </w:r>
      <w:bookmarkStart w:id="27" w:name="_Hlk66782274"/>
      <w:r>
        <w:rPr>
          <w:rFonts w:hint="eastAsia" w:ascii="宋体" w:hAnsi="宋体" w:cs="宋体"/>
          <w:color w:val="auto"/>
          <w:szCs w:val="21"/>
          <w:highlight w:val="none"/>
        </w:rPr>
        <w:t>未按照磋商文件要求密封的响应文件</w:t>
      </w:r>
      <w:bookmarkEnd w:id="27"/>
      <w:r>
        <w:rPr>
          <w:rFonts w:hint="eastAsia" w:ascii="宋体" w:hAnsi="宋体" w:cs="宋体"/>
          <w:color w:val="auto"/>
          <w:szCs w:val="21"/>
          <w:highlight w:val="none"/>
        </w:rPr>
        <w:t>为无效文件，采购人</w:t>
      </w:r>
      <w:r>
        <w:rPr>
          <w:rFonts w:hint="eastAsia" w:ascii="宋体" w:hAnsi="宋体" w:cs="宋体"/>
          <w:color w:val="auto"/>
          <w:szCs w:val="21"/>
          <w:highlight w:val="none"/>
          <w:lang w:eastAsia="zh-CN"/>
        </w:rPr>
        <w:t>将</w:t>
      </w:r>
      <w:r>
        <w:rPr>
          <w:rFonts w:hint="eastAsia" w:ascii="宋体" w:hAnsi="宋体" w:cs="宋体"/>
          <w:color w:val="auto"/>
          <w:szCs w:val="21"/>
          <w:highlight w:val="none"/>
        </w:rPr>
        <w:t>拒收。</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在响应文件提交截止时间前，可以对所提交的响应文件进行补充、修改或者撤回，并书面通知采购人。补充、修改的内容作为响应文件的组成部分。补充、修改的内容与响应文件不一致的，以补充、修改的内容为准。</w:t>
      </w:r>
      <w:r>
        <w:rPr>
          <w:rFonts w:hint="eastAsia" w:ascii="宋体" w:hAnsi="宋体"/>
          <w:color w:val="auto"/>
          <w:szCs w:val="21"/>
          <w:highlight w:val="none"/>
        </w:rPr>
        <w:t>补充、修改的内容必须由供应商的法定代表人或者其委托代理人签名或者加盖公章，并按照本须知正文第</w:t>
      </w:r>
      <w:r>
        <w:rPr>
          <w:rFonts w:ascii="宋体" w:hAnsi="宋体"/>
          <w:color w:val="auto"/>
          <w:szCs w:val="21"/>
          <w:highlight w:val="none"/>
        </w:rPr>
        <w:t>19</w:t>
      </w:r>
      <w:r>
        <w:rPr>
          <w:rFonts w:hint="eastAsia" w:ascii="宋体" w:hAnsi="宋体"/>
          <w:color w:val="auto"/>
          <w:szCs w:val="21"/>
          <w:highlight w:val="none"/>
        </w:rPr>
        <w:t>条的规定密封</w:t>
      </w:r>
      <w:r>
        <w:rPr>
          <w:rFonts w:hint="eastAsia" w:ascii="宋体" w:hAnsi="宋体"/>
          <w:b/>
          <w:color w:val="auto"/>
          <w:szCs w:val="21"/>
          <w:highlight w:val="none"/>
        </w:rPr>
        <w:t>。</w:t>
      </w:r>
    </w:p>
    <w:p>
      <w:pPr>
        <w:spacing w:line="360" w:lineRule="auto"/>
        <w:ind w:firstLine="482" w:firstLineChars="200"/>
        <w:rPr>
          <w:rFonts w:ascii="黑体" w:hAnsi="黑体" w:eastAsia="黑体" w:cs="宋体"/>
          <w:b/>
          <w:bCs/>
          <w:color w:val="auto"/>
          <w:sz w:val="24"/>
          <w:highlight w:val="none"/>
        </w:rPr>
      </w:pPr>
      <w:bookmarkStart w:id="28" w:name="_Hlk45702405"/>
      <w:r>
        <w:rPr>
          <w:rFonts w:hint="eastAsia" w:ascii="黑体" w:hAnsi="黑体" w:eastAsia="黑体" w:cs="宋体"/>
          <w:b/>
          <w:bCs/>
          <w:color w:val="auto"/>
          <w:sz w:val="24"/>
          <w:highlight w:val="none"/>
        </w:rPr>
        <w:t>22. 首次响应文件的退回</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在响应文件提交截止时间止提交响应文件的供应商不足3家时，应当由供应商法定代表人或者委托代理人签名领回响应文件（响应文件</w:t>
      </w:r>
      <w:r>
        <w:rPr>
          <w:rFonts w:hint="eastAsia" w:ascii="宋体" w:hAnsi="宋体"/>
          <w:color w:val="auto"/>
          <w:szCs w:val="21"/>
          <w:highlight w:val="none"/>
        </w:rPr>
        <w:t>采用邮寄方式提交的</w:t>
      </w:r>
      <w:r>
        <w:rPr>
          <w:rFonts w:hint="eastAsia" w:ascii="宋体" w:hAnsi="宋体" w:cs="宋体"/>
          <w:color w:val="auto"/>
          <w:szCs w:val="21"/>
          <w:highlight w:val="none"/>
        </w:rPr>
        <w:t>，以到付的方式寄回至原地址），除此之外采购人对已提交的响应文件概不退回。</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 截止时间后的撤回</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供应商在响应文件提交截止时间后向采购人书面申请撤回响应文件的，将根据本须知正文</w:t>
      </w:r>
      <w:r>
        <w:rPr>
          <w:rFonts w:hint="eastAsia" w:ascii="宋体" w:hAnsi="宋体" w:cs="宋体"/>
          <w:color w:val="auto"/>
          <w:szCs w:val="21"/>
          <w:highlight w:val="none"/>
          <w:lang w:val="en-US" w:eastAsia="zh-CN"/>
        </w:rPr>
        <w:t>第</w:t>
      </w:r>
      <w:r>
        <w:rPr>
          <w:rFonts w:hint="eastAsia" w:ascii="宋体" w:hAnsi="宋体" w:cs="宋体"/>
          <w:color w:val="auto"/>
          <w:szCs w:val="21"/>
          <w:highlight w:val="none"/>
        </w:rPr>
        <w:t>17.4</w:t>
      </w:r>
      <w:r>
        <w:rPr>
          <w:rFonts w:hint="eastAsia" w:ascii="宋体" w:hAnsi="宋体" w:cs="宋体"/>
          <w:color w:val="auto"/>
          <w:szCs w:val="21"/>
          <w:highlight w:val="none"/>
          <w:lang w:val="en-US" w:eastAsia="zh-CN"/>
        </w:rPr>
        <w:t>条</w:t>
      </w:r>
      <w:r>
        <w:rPr>
          <w:rFonts w:hint="eastAsia" w:ascii="宋体" w:hAnsi="宋体" w:cs="宋体"/>
          <w:color w:val="auto"/>
          <w:szCs w:val="21"/>
          <w:highlight w:val="none"/>
        </w:rPr>
        <w:t>的规定不予退还其磋商保证金。</w:t>
      </w:r>
    </w:p>
    <w:bookmarkEnd w:id="28"/>
    <w:p>
      <w:pPr>
        <w:spacing w:line="360" w:lineRule="auto"/>
        <w:rPr>
          <w:rFonts w:hint="eastAsia" w:ascii="宋体" w:hAnsi="宋体"/>
          <w:color w:val="auto"/>
          <w:szCs w:val="21"/>
          <w:highlight w:val="none"/>
        </w:rPr>
      </w:pPr>
    </w:p>
    <w:p>
      <w:pPr>
        <w:spacing w:line="360" w:lineRule="auto"/>
        <w:ind w:left="420" w:hanging="420"/>
        <w:jc w:val="center"/>
        <w:rPr>
          <w:rFonts w:hint="eastAsia" w:ascii="宋体" w:hAnsi="宋体"/>
          <w:b/>
          <w:bCs/>
          <w:color w:val="auto"/>
          <w:sz w:val="32"/>
          <w:szCs w:val="32"/>
          <w:highlight w:val="none"/>
        </w:rPr>
      </w:pPr>
      <w:r>
        <w:rPr>
          <w:rFonts w:hint="eastAsia" w:ascii="宋体" w:hAnsi="宋体"/>
          <w:b/>
          <w:bCs/>
          <w:color w:val="auto"/>
          <w:sz w:val="32"/>
          <w:szCs w:val="32"/>
          <w:highlight w:val="none"/>
        </w:rPr>
        <w:t>四、评审及磋商</w:t>
      </w:r>
    </w:p>
    <w:p>
      <w:pPr>
        <w:spacing w:line="360" w:lineRule="auto"/>
        <w:ind w:left="420" w:firstLine="420"/>
        <w:rPr>
          <w:rFonts w:hint="eastAsia" w:ascii="宋体" w:hAnsi="宋体"/>
          <w:color w:val="auto"/>
          <w:szCs w:val="21"/>
          <w:highlight w:val="none"/>
        </w:rPr>
      </w:pP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磋商小组由3人以上单数组成，具体人数见“供应商须知前附表”</w:t>
      </w:r>
      <w:r>
        <w:rPr>
          <w:rFonts w:hint="eastAsia" w:ascii="宋体" w:hAnsi="宋体" w:cs="宋体"/>
          <w:color w:val="auto"/>
          <w:szCs w:val="21"/>
          <w:highlight w:val="none"/>
          <w:lang w:eastAsia="zh-CN"/>
        </w:rPr>
        <w:t>。</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首次响应文件由磋商小组在“供应商须知前附表”规定的时间开启。</w:t>
      </w:r>
    </w:p>
    <w:p>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从</w:t>
      </w:r>
      <w:r>
        <w:rPr>
          <w:rFonts w:hint="eastAsia" w:ascii="宋体" w:hAnsi="宋体" w:cs="宋体"/>
          <w:color w:val="auto"/>
          <w:szCs w:val="21"/>
          <w:highlight w:val="none"/>
        </w:rPr>
        <w:t>评审报告提出的成交候选供应商中，按照排序由高到低的原则确定成交供应商。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w:t>
      </w:r>
      <w:r>
        <w:rPr>
          <w:rFonts w:hint="eastAsia" w:ascii="宋体" w:hAnsi="宋体" w:cs="宋体"/>
          <w:b/>
          <w:bCs/>
          <w:color w:val="auto"/>
          <w:szCs w:val="21"/>
          <w:highlight w:val="none"/>
        </w:rPr>
        <w:t>采购</w:t>
      </w:r>
      <w:r>
        <w:rPr>
          <w:rFonts w:hint="eastAsia" w:ascii="宋体" w:hAnsi="宋体" w:cs="宋体"/>
          <w:b/>
          <w:bCs/>
          <w:color w:val="auto"/>
          <w:szCs w:val="21"/>
          <w:highlight w:val="none"/>
          <w:lang w:eastAsia="zh-CN"/>
        </w:rPr>
        <w:t>人</w:t>
      </w:r>
      <w:r>
        <w:rPr>
          <w:rFonts w:hint="eastAsia" w:ascii="宋体" w:hAnsi="宋体" w:cs="宋体"/>
          <w:b/>
          <w:bCs/>
          <w:color w:val="auto"/>
          <w:szCs w:val="21"/>
          <w:highlight w:val="none"/>
          <w:lang w:val="en-US" w:eastAsia="zh-CN"/>
        </w:rPr>
        <w:t>应当</w:t>
      </w:r>
      <w:r>
        <w:rPr>
          <w:rFonts w:hint="eastAsia" w:ascii="宋体" w:hAnsi="宋体" w:cs="宋体"/>
          <w:b/>
          <w:bCs/>
          <w:color w:val="auto"/>
          <w:szCs w:val="21"/>
          <w:highlight w:val="none"/>
        </w:rPr>
        <w:t>在</w:t>
      </w:r>
      <w:r>
        <w:rPr>
          <w:rFonts w:hint="eastAsia" w:ascii="宋体" w:hAnsi="宋体" w:cs="宋体"/>
          <w:b/>
          <w:bCs/>
          <w:color w:val="auto"/>
          <w:kern w:val="0"/>
          <w:szCs w:val="21"/>
          <w:highlight w:val="none"/>
        </w:rPr>
        <w:t>成交</w:t>
      </w:r>
      <w:r>
        <w:rPr>
          <w:rFonts w:hint="eastAsia" w:ascii="宋体" w:hAnsi="宋体" w:cs="宋体"/>
          <w:b/>
          <w:bCs/>
          <w:color w:val="auto"/>
          <w:szCs w:val="21"/>
          <w:highlight w:val="none"/>
        </w:rPr>
        <w:t>供应商确定后</w:t>
      </w:r>
      <w:r>
        <w:rPr>
          <w:rFonts w:hint="eastAsia" w:ascii="宋体" w:hAnsi="宋体" w:cs="宋体"/>
          <w:b/>
          <w:bCs/>
          <w:color w:val="auto"/>
          <w:szCs w:val="21"/>
          <w:highlight w:val="none"/>
          <w:lang w:val="en-US" w:eastAsia="zh-CN"/>
        </w:rPr>
        <w:t xml:space="preserve"> 2</w:t>
      </w:r>
      <w:r>
        <w:rPr>
          <w:rFonts w:hint="eastAsia" w:ascii="宋体" w:hAnsi="宋体" w:cs="宋体"/>
          <w:b/>
          <w:bCs/>
          <w:color w:val="auto"/>
          <w:szCs w:val="21"/>
          <w:highlight w:val="none"/>
        </w:rPr>
        <w:t>个工作日内公告成交结果，</w:t>
      </w:r>
      <w:r>
        <w:rPr>
          <w:rFonts w:hint="eastAsia" w:ascii="宋体" w:hAnsi="宋体" w:cs="宋体"/>
          <w:color w:val="auto"/>
          <w:szCs w:val="21"/>
          <w:highlight w:val="none"/>
        </w:rPr>
        <w:t>同时向成交供应商发出成交通知书。采购人发出成交通知书前，</w:t>
      </w:r>
      <w:r>
        <w:rPr>
          <w:rFonts w:hint="eastAsia" w:ascii="宋体" w:hAnsi="宋体" w:cs="宋体"/>
          <w:color w:val="auto"/>
          <w:szCs w:val="21"/>
          <w:highlight w:val="none"/>
          <w:lang w:val="en-US" w:eastAsia="zh-CN"/>
        </w:rPr>
        <w:t>应当</w:t>
      </w:r>
      <w:r>
        <w:rPr>
          <w:rFonts w:hint="eastAsia" w:ascii="宋体" w:hAnsi="宋体" w:cs="宋体"/>
          <w:color w:val="auto"/>
          <w:szCs w:val="21"/>
          <w:highlight w:val="none"/>
        </w:rPr>
        <w:t>对成交供应商信用进行查询，</w:t>
      </w:r>
      <w:r>
        <w:rPr>
          <w:rFonts w:hint="eastAsia" w:ascii="宋体" w:hAnsi="宋体" w:cs="宋体"/>
          <w:color w:val="auto"/>
          <w:szCs w:val="21"/>
          <w:highlight w:val="none"/>
          <w:lang w:val="en-US" w:eastAsia="zh-CN"/>
        </w:rPr>
        <w:t>对</w:t>
      </w:r>
      <w:r>
        <w:rPr>
          <w:rFonts w:hint="eastAsia" w:ascii="宋体" w:hAnsi="宋体" w:cs="宋体"/>
          <w:color w:val="auto"/>
          <w:szCs w:val="21"/>
          <w:highlight w:val="none"/>
          <w:lang w:eastAsia="zh-CN"/>
        </w:rPr>
        <w:t>被</w:t>
      </w:r>
      <w:r>
        <w:rPr>
          <w:rFonts w:hint="eastAsia" w:ascii="宋体" w:hAnsi="宋体" w:cs="宋体"/>
          <w:color w:val="auto"/>
          <w:szCs w:val="21"/>
          <w:highlight w:val="none"/>
        </w:rPr>
        <w:t>列入</w:t>
      </w:r>
      <w:r>
        <w:rPr>
          <w:rFonts w:hint="eastAsia" w:ascii="宋体" w:hAnsi="宋体" w:cs="宋体"/>
          <w:b/>
          <w:bCs/>
          <w:color w:val="auto"/>
          <w:kern w:val="0"/>
          <w:szCs w:val="21"/>
          <w:highlight w:val="none"/>
          <w:lang w:eastAsia="zh-CN"/>
        </w:rPr>
        <w:t>严重</w:t>
      </w:r>
      <w:r>
        <w:rPr>
          <w:rFonts w:hint="eastAsia" w:ascii="宋体" w:hAnsi="宋体" w:cs="宋体"/>
          <w:b/>
          <w:bCs/>
          <w:color w:val="auto"/>
          <w:kern w:val="0"/>
          <w:szCs w:val="21"/>
          <w:highlight w:val="none"/>
        </w:rPr>
        <w:t>失信</w:t>
      </w:r>
      <w:r>
        <w:rPr>
          <w:rFonts w:hint="eastAsia" w:ascii="宋体" w:hAnsi="宋体" w:cs="宋体"/>
          <w:b/>
          <w:bCs/>
          <w:color w:val="auto"/>
          <w:kern w:val="0"/>
          <w:szCs w:val="21"/>
          <w:highlight w:val="none"/>
          <w:lang w:eastAsia="zh-CN"/>
        </w:rPr>
        <w:t>主体</w:t>
      </w:r>
      <w:r>
        <w:rPr>
          <w:rFonts w:hint="eastAsia" w:ascii="宋体" w:hAnsi="宋体" w:cs="宋体"/>
          <w:b/>
          <w:bCs/>
          <w:color w:val="auto"/>
          <w:kern w:val="0"/>
          <w:szCs w:val="21"/>
          <w:highlight w:val="none"/>
        </w:rPr>
        <w:t>名单、</w:t>
      </w:r>
      <w:r>
        <w:rPr>
          <w:rFonts w:hint="eastAsia" w:ascii="宋体" w:hAnsi="宋体" w:cs="宋体"/>
          <w:b/>
          <w:bCs/>
          <w:color w:val="auto"/>
          <w:kern w:val="0"/>
          <w:szCs w:val="21"/>
          <w:highlight w:val="none"/>
          <w:lang w:eastAsia="zh-CN"/>
        </w:rPr>
        <w:t>经营异常名录、失信</w:t>
      </w:r>
      <w:r>
        <w:rPr>
          <w:rFonts w:hint="eastAsia" w:ascii="宋体" w:hAnsi="宋体" w:cs="宋体"/>
          <w:b/>
          <w:bCs/>
          <w:color w:val="auto"/>
          <w:kern w:val="0"/>
          <w:szCs w:val="21"/>
          <w:highlight w:val="none"/>
        </w:rPr>
        <w:t>被执行人</w:t>
      </w:r>
      <w:r>
        <w:rPr>
          <w:rFonts w:hint="eastAsia" w:ascii="宋体" w:hAnsi="宋体" w:cs="宋体"/>
          <w:b/>
          <w:bCs/>
          <w:color w:val="auto"/>
          <w:kern w:val="0"/>
          <w:szCs w:val="21"/>
          <w:highlight w:val="none"/>
          <w:lang w:eastAsia="zh-CN"/>
        </w:rPr>
        <w:t>、</w:t>
      </w:r>
      <w:r>
        <w:rPr>
          <w:rFonts w:hint="eastAsia" w:ascii="宋体" w:hAnsi="宋体" w:cs="宋体"/>
          <w:b/>
          <w:bCs/>
          <w:color w:val="auto"/>
          <w:kern w:val="0"/>
          <w:sz w:val="21"/>
          <w:szCs w:val="21"/>
          <w:highlight w:val="none"/>
          <w:lang w:eastAsia="zh-CN"/>
        </w:rPr>
        <w:t>政府采购严重违法失信行为记录名单、拖欠农民工工资失信联合惩戒对象名单、</w:t>
      </w:r>
      <w:r>
        <w:rPr>
          <w:rFonts w:hint="eastAsia" w:ascii="宋体" w:hAnsi="宋体" w:cs="宋体"/>
          <w:b/>
          <w:bCs/>
          <w:color w:val="auto"/>
          <w:kern w:val="0"/>
          <w:sz w:val="21"/>
          <w:szCs w:val="21"/>
          <w:highlight w:val="none"/>
        </w:rPr>
        <w:t>重大税收违法</w:t>
      </w:r>
      <w:r>
        <w:rPr>
          <w:rFonts w:hint="eastAsia" w:ascii="宋体" w:hAnsi="宋体" w:cs="宋体"/>
          <w:b/>
          <w:bCs/>
          <w:color w:val="auto"/>
          <w:kern w:val="0"/>
          <w:sz w:val="21"/>
          <w:szCs w:val="21"/>
          <w:highlight w:val="none"/>
          <w:lang w:eastAsia="zh-CN"/>
        </w:rPr>
        <w:t>失信主体名单、安全生产领域严重失信惩戒名单、统计严重失信企业名单、严重违法超限超载运输失信当事人名单，或</w:t>
      </w:r>
      <w:r>
        <w:rPr>
          <w:rFonts w:hint="eastAsia" w:ascii="宋体" w:hAnsi="宋体" w:cs="宋体"/>
          <w:b/>
          <w:bCs/>
          <w:color w:val="auto"/>
          <w:kern w:val="0"/>
          <w:sz w:val="21"/>
          <w:szCs w:val="21"/>
          <w:highlight w:val="none"/>
        </w:rPr>
        <w:t>被监管部门处罚导致暂停或终止业务</w:t>
      </w:r>
      <w:r>
        <w:rPr>
          <w:rFonts w:hint="eastAsia" w:ascii="宋体" w:hAnsi="宋体" w:cs="宋体"/>
          <w:b/>
          <w:bCs/>
          <w:color w:val="auto"/>
          <w:kern w:val="0"/>
          <w:sz w:val="21"/>
          <w:szCs w:val="21"/>
          <w:highlight w:val="none"/>
          <w:lang w:eastAsia="zh-CN"/>
        </w:rPr>
        <w:t>，或</w:t>
      </w:r>
      <w:r>
        <w:rPr>
          <w:rFonts w:hint="eastAsia" w:ascii="宋体" w:hAnsi="宋体" w:cs="宋体"/>
          <w:b/>
          <w:bCs/>
          <w:color w:val="auto"/>
          <w:kern w:val="0"/>
          <w:sz w:val="21"/>
          <w:szCs w:val="21"/>
          <w:highlight w:val="none"/>
        </w:rPr>
        <w:t>不符合</w:t>
      </w:r>
      <w:r>
        <w:rPr>
          <w:rFonts w:hint="eastAsia" w:ascii="宋体" w:hAnsi="宋体" w:cs="宋体"/>
          <w:b/>
          <w:bCs/>
          <w:color w:val="auto"/>
          <w:kern w:val="0"/>
          <w:sz w:val="21"/>
          <w:szCs w:val="21"/>
          <w:highlight w:val="none"/>
          <w:lang w:eastAsia="zh-CN"/>
        </w:rPr>
        <w:t>采购</w:t>
      </w:r>
      <w:r>
        <w:rPr>
          <w:rFonts w:hint="eastAsia" w:ascii="宋体" w:hAnsi="宋体" w:cs="宋体"/>
          <w:b/>
          <w:bCs/>
          <w:color w:val="auto"/>
          <w:kern w:val="0"/>
          <w:sz w:val="21"/>
          <w:szCs w:val="21"/>
          <w:highlight w:val="none"/>
        </w:rPr>
        <w:t>人规定</w:t>
      </w:r>
      <w:r>
        <w:rPr>
          <w:rFonts w:hint="eastAsia" w:ascii="宋体" w:hAnsi="宋体" w:cs="宋体"/>
          <w:b/>
          <w:bCs/>
          <w:color w:val="auto"/>
          <w:kern w:val="0"/>
          <w:sz w:val="21"/>
          <w:szCs w:val="21"/>
          <w:highlight w:val="none"/>
          <w:lang w:eastAsia="zh-CN"/>
        </w:rPr>
        <w:t>的</w:t>
      </w:r>
      <w:r>
        <w:rPr>
          <w:rFonts w:hint="eastAsia" w:ascii="宋体" w:hAnsi="宋体" w:cs="宋体"/>
          <w:b/>
          <w:bCs/>
          <w:color w:val="auto"/>
          <w:kern w:val="0"/>
          <w:sz w:val="21"/>
          <w:szCs w:val="21"/>
          <w:highlight w:val="none"/>
        </w:rPr>
        <w:t>其他</w:t>
      </w:r>
      <w:r>
        <w:rPr>
          <w:rFonts w:hint="eastAsia" w:ascii="宋体" w:hAnsi="宋体" w:cs="宋体"/>
          <w:b/>
          <w:bCs/>
          <w:color w:val="auto"/>
          <w:kern w:val="0"/>
          <w:sz w:val="21"/>
          <w:szCs w:val="21"/>
          <w:highlight w:val="none"/>
          <w:lang w:eastAsia="zh-CN"/>
        </w:rPr>
        <w:t>条件的</w:t>
      </w:r>
      <w:r>
        <w:rPr>
          <w:rFonts w:hint="eastAsia" w:ascii="宋体" w:hAnsi="宋体" w:cs="宋体"/>
          <w:color w:val="auto"/>
          <w:szCs w:val="21"/>
          <w:highlight w:val="none"/>
        </w:rPr>
        <w:t>，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29" w:name="_Hlk66782294"/>
    </w:p>
    <w:bookmarkEnd w:id="29"/>
    <w:p>
      <w:pPr>
        <w:spacing w:line="360" w:lineRule="auto"/>
        <w:ind w:firstLine="420" w:firstLineChars="200"/>
        <w:rPr>
          <w:rFonts w:hint="eastAsia" w:ascii="宋体" w:hAnsi="宋体" w:cs="Courier New"/>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7.3</w:t>
      </w:r>
      <w:r>
        <w:rPr>
          <w:rFonts w:hint="eastAsia" w:ascii="宋体" w:hAnsi="宋体" w:cs="Courier New"/>
          <w:color w:val="auto"/>
          <w:szCs w:val="21"/>
          <w:highlight w:val="none"/>
        </w:rPr>
        <w:t>成交供应商拒绝签订采购合同（包括但不限于放弃成交、因不可抗力不能履行合同而放弃签订合同），采购人可以按照评审报告推荐的成交候选人名单排序，确定下一候选人为成交供应商，也可以重新开展采购活动。</w:t>
      </w:r>
    </w:p>
    <w:p>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履约保证金的金</w:t>
      </w:r>
      <w:r>
        <w:rPr>
          <w:rFonts w:hint="eastAsia" w:ascii="宋体" w:hAnsi="宋体" w:cs="宋体"/>
          <w:color w:val="auto"/>
          <w:szCs w:val="21"/>
          <w:highlight w:val="none"/>
          <w:lang w:val="en-US" w:eastAsia="zh-CN"/>
        </w:rPr>
        <w:t>额</w:t>
      </w:r>
      <w:r>
        <w:rPr>
          <w:rFonts w:hint="eastAsia" w:ascii="宋体" w:hAnsi="宋体" w:cs="宋体"/>
          <w:color w:val="auto"/>
          <w:szCs w:val="21"/>
          <w:highlight w:val="none"/>
        </w:rPr>
        <w:t>、提交方式、退付的时间和条件详见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w:t>
      </w:r>
    </w:p>
    <w:p>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.2在履约保证金退还日期前，若成交供应商的开户名称、开户银行、帐号有变动的，请以书面形式通知履约保证金收取单位，否则由此产生的后果由成交供应商自行承担。</w:t>
      </w:r>
    </w:p>
    <w:p>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29.1</w:t>
      </w:r>
      <w:r>
        <w:rPr>
          <w:rFonts w:hint="eastAsia" w:ascii="宋体" w:hAnsi="宋体" w:cs="宋体"/>
          <w:color w:val="auto"/>
          <w:szCs w:val="21"/>
          <w:highlight w:val="none"/>
        </w:rPr>
        <w:t>成交供应商在收到成交通知书后，应当在签订合同时向采购人出示相关证明材料，具体内容详见 “供应商须知前附表”，经采购人核验合格后方可签订合同。</w:t>
      </w:r>
    </w:p>
    <w:p>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.2 签订合同时间：按成交通知书规定的时间与采购人签订采购合同。</w:t>
      </w:r>
    </w:p>
    <w:p>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.3</w:t>
      </w:r>
      <w:r>
        <w:rPr>
          <w:rFonts w:hint="eastAsia" w:ascii="宋体" w:hAnsi="宋体"/>
          <w:color w:val="auto"/>
          <w:szCs w:val="21"/>
          <w:highlight w:val="none"/>
        </w:rPr>
        <w:t>成交供应商拒绝与采购人签订合同的，按照本须知正文第</w:t>
      </w:r>
      <w:r>
        <w:rPr>
          <w:rFonts w:ascii="宋体" w:hAnsi="宋体"/>
          <w:color w:val="auto"/>
          <w:szCs w:val="21"/>
          <w:highlight w:val="none"/>
        </w:rPr>
        <w:t>27.</w:t>
      </w:r>
      <w:r>
        <w:rPr>
          <w:rFonts w:hint="eastAsia" w:ascii="宋体" w:hAnsi="宋体"/>
          <w:color w:val="auto"/>
          <w:szCs w:val="21"/>
          <w:highlight w:val="none"/>
        </w:rPr>
        <w:t>3</w:t>
      </w:r>
      <w:r>
        <w:rPr>
          <w:rFonts w:ascii="宋体" w:hAnsi="宋体"/>
          <w:color w:val="auto"/>
          <w:szCs w:val="21"/>
          <w:highlight w:val="none"/>
        </w:rPr>
        <w:t>条的规定</w:t>
      </w:r>
      <w:r>
        <w:rPr>
          <w:rFonts w:hint="eastAsia" w:ascii="宋体" w:hAnsi="宋体"/>
          <w:color w:val="auto"/>
          <w:szCs w:val="21"/>
          <w:highlight w:val="none"/>
        </w:rPr>
        <w:t>执行</w:t>
      </w:r>
      <w:r>
        <w:rPr>
          <w:rFonts w:hint="eastAsia" w:ascii="宋体" w:hAnsi="宋体" w:cs="宋体"/>
          <w:color w:val="auto"/>
          <w:szCs w:val="21"/>
          <w:highlight w:val="none"/>
        </w:rPr>
        <w:t>。</w:t>
      </w:r>
    </w:p>
    <w:p>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 询问和质疑</w:t>
      </w:r>
    </w:p>
    <w:p>
      <w:pPr>
        <w:pStyle w:val="6"/>
        <w:spacing w:line="360" w:lineRule="auto"/>
        <w:rPr>
          <w:rFonts w:hint="eastAsia" w:ascii="宋体" w:hAnsi="宋体"/>
          <w:color w:val="auto"/>
          <w:szCs w:val="21"/>
          <w:highlight w:val="none"/>
        </w:rPr>
      </w:pPr>
      <w:r>
        <w:rPr>
          <w:rFonts w:hint="eastAsia" w:ascii="宋体" w:hAnsi="宋体" w:cs="宋体"/>
          <w:color w:val="auto"/>
          <w:highlight w:val="none"/>
        </w:rPr>
        <w:t>3</w:t>
      </w:r>
      <w:r>
        <w:rPr>
          <w:rFonts w:ascii="宋体" w:hAnsi="宋体" w:cs="宋体"/>
          <w:color w:val="auto"/>
          <w:highlight w:val="none"/>
        </w:rPr>
        <w:t>0</w:t>
      </w:r>
      <w:r>
        <w:rPr>
          <w:rFonts w:hint="eastAsia" w:ascii="宋体" w:hAnsi="宋体" w:cs="宋体"/>
          <w:color w:val="auto"/>
          <w:highlight w:val="none"/>
        </w:rPr>
        <w:t>.1供应商对采购活动事项有疑问的，可以向采购人提出询问，采购人应当在</w:t>
      </w:r>
      <w:r>
        <w:rPr>
          <w:rFonts w:hint="eastAsia" w:ascii="宋体" w:hAnsi="宋体" w:cs="宋体"/>
          <w:color w:val="auto"/>
          <w:highlight w:val="none"/>
          <w:lang w:val="en-US" w:eastAsia="zh-CN"/>
        </w:rPr>
        <w:t>3</w:t>
      </w:r>
      <w:r>
        <w:rPr>
          <w:rFonts w:hint="eastAsia" w:ascii="宋体" w:hAnsi="宋体" w:cs="宋体"/>
          <w:color w:val="auto"/>
          <w:highlight w:val="none"/>
        </w:rPr>
        <w:t>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0</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w:t>
      </w:r>
      <w:r>
        <w:rPr>
          <w:rFonts w:hint="eastAsia" w:ascii="宋体" w:hAnsi="宋体" w:cs="宋体"/>
          <w:color w:val="auto"/>
          <w:highlight w:val="none"/>
          <w:lang w:eastAsia="zh-CN"/>
        </w:rPr>
        <w:t>采购管理部门</w:t>
      </w:r>
      <w:r>
        <w:rPr>
          <w:rFonts w:hint="eastAsia" w:ascii="宋体" w:hAnsi="宋体" w:cs="宋体"/>
          <w:color w:val="auto"/>
          <w:highlight w:val="none"/>
        </w:rPr>
        <w:t>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0</w:t>
      </w:r>
      <w:r>
        <w:rPr>
          <w:rFonts w:hint="eastAsia" w:ascii="宋体" w:hAnsi="宋体" w:cs="宋体"/>
          <w:color w:val="auto"/>
          <w:highlight w:val="none"/>
        </w:rPr>
        <w:t>.3供应商提出质疑应当提交质疑函和必要的证明材料，针对同一采购程序环节的质疑必须在法定质疑期内一次性提出。质疑函应当包括下列内容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供应商为自然人的，应当由本人签名；供应商为法人或者</w:t>
      </w:r>
      <w:r>
        <w:rPr>
          <w:rFonts w:hint="eastAsia" w:ascii="宋体" w:hAnsi="宋体" w:cs="宋体"/>
          <w:color w:val="auto"/>
          <w:highlight w:val="none"/>
          <w:lang w:eastAsia="zh-CN"/>
        </w:rPr>
        <w:t>非法人组织</w:t>
      </w:r>
      <w:r>
        <w:rPr>
          <w:rFonts w:hint="eastAsia" w:ascii="宋体" w:hAnsi="宋体" w:cs="宋体"/>
          <w:color w:val="auto"/>
          <w:highlight w:val="none"/>
        </w:rPr>
        <w:t>的，应当由法定代表人、主要负责人或者其委托代理人签名，并加盖公章。</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0.</w:t>
      </w:r>
      <w:r>
        <w:rPr>
          <w:rFonts w:hint="eastAsia" w:ascii="宋体" w:hAnsi="宋体" w:cs="宋体"/>
          <w:color w:val="auto"/>
          <w:highlight w:val="none"/>
          <w:lang w:val="en-US" w:eastAsia="zh-CN"/>
        </w:rPr>
        <w:t>4</w:t>
      </w:r>
      <w:r>
        <w:rPr>
          <w:rFonts w:hint="eastAsia" w:ascii="宋体" w:hAnsi="宋体" w:cs="宋体"/>
          <w:color w:val="auto"/>
          <w:highlight w:val="none"/>
        </w:rPr>
        <w:t>采购人认为供应商质疑不成立，或者成立但未对成交结果构成影响的，继续开展采购活动；认为供应商质疑成立且影响或者可能影响成交结果的，按照下列情况处理：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（1）对采购文件提出的质疑，依法通过澄清或者修改可以继续开展采购活动的，澄清或者修改采购文件后继续开展采购活动；否则应修改采购文件后重新开展采购活动。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（2）对采购过程或者成交结果提出的质疑，合格供应商符合法定数量时，</w:t>
      </w:r>
      <w:r>
        <w:rPr>
          <w:rFonts w:hint="eastAsia" w:ascii="宋体" w:hAnsi="宋体" w:cs="宋体"/>
          <w:color w:val="auto"/>
          <w:highlight w:val="none"/>
          <w:lang w:eastAsia="zh-CN"/>
        </w:rPr>
        <w:t>采购人</w:t>
      </w:r>
      <w:r>
        <w:rPr>
          <w:rFonts w:hint="eastAsia" w:ascii="宋体" w:hAnsi="宋体" w:cs="宋体"/>
          <w:color w:val="auto"/>
          <w:highlight w:val="none"/>
        </w:rPr>
        <w:t>可以从合格的成交候选人中另行确定成交供应商</w:t>
      </w:r>
      <w:r>
        <w:rPr>
          <w:rFonts w:hint="eastAsia" w:ascii="宋体" w:hAnsi="宋体" w:cs="宋体"/>
          <w:color w:val="auto"/>
          <w:highlight w:val="none"/>
          <w:lang w:eastAsia="zh-CN"/>
        </w:rPr>
        <w:t>，也可以</w:t>
      </w:r>
      <w:r>
        <w:rPr>
          <w:rFonts w:hint="eastAsia" w:ascii="宋体" w:hAnsi="宋体" w:cs="宋体"/>
          <w:color w:val="auto"/>
          <w:highlight w:val="none"/>
        </w:rPr>
        <w:t>重新开展采购活动。</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hint="eastAsia" w:ascii="黑体" w:hAnsi="黑体" w:eastAsia="黑体" w:cs="宋体"/>
          <w:b/>
          <w:bCs/>
          <w:color w:val="auto"/>
          <w:sz w:val="24"/>
          <w:highlight w:val="none"/>
          <w:lang w:val="en-US" w:eastAsia="zh-CN"/>
        </w:rPr>
        <w:t>1</w:t>
      </w:r>
      <w:r>
        <w:rPr>
          <w:rFonts w:ascii="黑体" w:hAnsi="黑体" w:eastAsia="黑体" w:cs="宋体"/>
          <w:b/>
          <w:bCs/>
          <w:color w:val="auto"/>
          <w:sz w:val="24"/>
          <w:highlight w:val="none"/>
        </w:rPr>
        <w:t>.需要补充的其他内容</w:t>
      </w:r>
    </w:p>
    <w:p>
      <w:pPr>
        <w:pStyle w:val="16"/>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int="eastAsia" w:hAnsi="宋体" w:cs="宋体"/>
          <w:color w:val="auto"/>
          <w:kern w:val="2"/>
          <w:sz w:val="21"/>
          <w:highlight w:val="none"/>
          <w:lang w:val="en-US" w:eastAsia="zh-CN"/>
        </w:rPr>
        <w:t>1</w:t>
      </w:r>
      <w:r>
        <w:rPr>
          <w:rFonts w:hAnsi="宋体" w:cs="宋体"/>
          <w:color w:val="auto"/>
          <w:kern w:val="2"/>
          <w:sz w:val="21"/>
          <w:highlight w:val="none"/>
        </w:rPr>
        <w:t>.1</w:t>
      </w:r>
      <w:r>
        <w:rPr>
          <w:rFonts w:hint="eastAsia" w:hAnsi="宋体" w:cs="宋体"/>
          <w:color w:val="auto"/>
          <w:kern w:val="2"/>
          <w:sz w:val="21"/>
          <w:highlight w:val="none"/>
        </w:rPr>
        <w:t>本磋商文件解释规则详见“供应商须知前附表”。</w:t>
      </w:r>
    </w:p>
    <w:p>
      <w:pPr>
        <w:pStyle w:val="16"/>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w:t>
      </w:r>
      <w:r>
        <w:rPr>
          <w:rFonts w:hint="eastAsia" w:hAnsi="宋体" w:cs="宋体"/>
          <w:color w:val="auto"/>
          <w:kern w:val="2"/>
          <w:sz w:val="21"/>
          <w:highlight w:val="none"/>
          <w:lang w:val="en-US" w:eastAsia="zh-CN"/>
        </w:rPr>
        <w:t>1</w:t>
      </w:r>
      <w:r>
        <w:rPr>
          <w:rFonts w:hAnsi="宋体" w:cs="宋体"/>
          <w:color w:val="auto"/>
          <w:kern w:val="2"/>
          <w:sz w:val="21"/>
          <w:highlight w:val="none"/>
        </w:rPr>
        <w:t>.2</w:t>
      </w:r>
      <w:r>
        <w:rPr>
          <w:rFonts w:hint="eastAsia" w:hAnsi="宋体" w:cs="宋体"/>
          <w:color w:val="auto"/>
          <w:kern w:val="2"/>
          <w:sz w:val="21"/>
          <w:highlight w:val="none"/>
        </w:rPr>
        <w:t xml:space="preserve"> 其他事项详见“供应商须知前附表”。</w:t>
      </w:r>
    </w:p>
    <w:p>
      <w:pPr>
        <w:pStyle w:val="11"/>
        <w:ind w:left="1" w:firstLine="2" w:firstLineChars="1"/>
        <w:rPr>
          <w:rFonts w:hAnsi="宋体"/>
          <w:b/>
          <w:color w:val="auto"/>
          <w:highlight w:val="none"/>
        </w:rPr>
        <w:sectPr>
          <w:pgSz w:w="11906" w:h="16838"/>
          <w:pgMar w:top="1440" w:right="1401" w:bottom="1440" w:left="1685" w:header="851" w:footer="992" w:gutter="0"/>
          <w:cols w:space="720" w:num="1"/>
          <w:titlePg/>
          <w:docGrid w:type="lines" w:linePitch="312" w:charSpace="0"/>
        </w:sectPr>
      </w:pPr>
    </w:p>
    <w:p>
      <w:pPr>
        <w:pStyle w:val="3"/>
        <w:jc w:val="center"/>
        <w:rPr>
          <w:rFonts w:hint="eastAsia" w:ascii="宋体" w:hAnsi="宋体" w:eastAsia="宋体" w:cs="宋体"/>
          <w:color w:val="auto"/>
          <w:highlight w:val="none"/>
        </w:rPr>
      </w:pPr>
      <w:bookmarkStart w:id="30" w:name="_Toc12257_WPSOffice_Level1"/>
      <w:bookmarkStart w:id="31" w:name="_Toc74323458"/>
      <w:bookmarkStart w:id="32" w:name="_Toc25409_WPSOffice_Level1"/>
      <w:bookmarkStart w:id="33" w:name="_Toc21437"/>
      <w:r>
        <w:rPr>
          <w:rFonts w:hint="eastAsia" w:ascii="宋体" w:hAnsi="宋体" w:eastAsia="宋体" w:cs="宋体"/>
          <w:color w:val="auto"/>
          <w:highlight w:val="none"/>
        </w:rPr>
        <w:t>第三章 采购需求</w:t>
      </w:r>
      <w:bookmarkEnd w:id="30"/>
      <w:bookmarkEnd w:id="31"/>
      <w:bookmarkEnd w:id="32"/>
      <w:bookmarkEnd w:id="33"/>
    </w:p>
    <w:p>
      <w:pPr>
        <w:spacing w:line="44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采购项目技术规格、参数及要求</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说明：</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 “实质性要求”是指采购需求中带“▲”的条款或者不能负偏离的条款或者已经指明不满足按响应文件按无效处理的条款。</w:t>
      </w:r>
    </w:p>
    <w:p>
      <w:pPr>
        <w:spacing w:line="360" w:lineRule="auto"/>
        <w:ind w:firstLine="424" w:firstLineChars="202"/>
        <w:jc w:val="left"/>
        <w:rPr>
          <w:rFonts w:hint="eastAsia"/>
          <w:color w:val="auto"/>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.供应商应根据自身实际情况如实响应磋商文件</w:t>
      </w:r>
      <w:r>
        <w:rPr>
          <w:rFonts w:hint="eastAsia" w:ascii="宋体" w:hAnsi="宋体"/>
          <w:color w:val="auto"/>
          <w:szCs w:val="21"/>
          <w:highlight w:val="none"/>
        </w:rPr>
        <w:t>，不得仅将</w:t>
      </w:r>
      <w:r>
        <w:rPr>
          <w:rFonts w:hint="eastAsia" w:ascii="宋体" w:hAnsi="宋体" w:cs="宋体"/>
          <w:color w:val="auto"/>
          <w:szCs w:val="21"/>
          <w:highlight w:val="none"/>
        </w:rPr>
        <w:t>磋商文件</w:t>
      </w:r>
      <w:r>
        <w:rPr>
          <w:rFonts w:hint="eastAsia" w:ascii="宋体" w:hAnsi="宋体"/>
          <w:color w:val="auto"/>
          <w:szCs w:val="21"/>
          <w:highlight w:val="none"/>
        </w:rPr>
        <w:t>内容简单复制粘贴作为竞标响应，还应当提供相关证明材料，否则将按无效响应处理。</w:t>
      </w:r>
      <w:r>
        <w:rPr>
          <w:rFonts w:hint="eastAsia"/>
          <w:color w:val="auto"/>
          <w:highlight w:val="none"/>
        </w:rPr>
        <w:t>对于重要技术条款或技术参数应当在响应文件中提供技术支持资料，技术支持资料以磋商文件中规定的形式为准，否则将视为无效技术支持资料。</w:t>
      </w:r>
    </w:p>
    <w:p>
      <w:pPr>
        <w:spacing w:line="360" w:lineRule="auto"/>
        <w:ind w:firstLine="424" w:firstLineChars="202"/>
        <w:jc w:val="left"/>
        <w:rPr>
          <w:rFonts w:hint="eastAsia" w:ascii="宋体" w:hAnsi="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color w:val="auto"/>
          <w:highlight w:val="none"/>
        </w:rPr>
        <w:t>供应商必须自行为其竞标产品侵犯他人的知识产权或者专利成果的行为承担相应法律责任。</w:t>
      </w:r>
    </w:p>
    <w:p>
      <w:pPr>
        <w:spacing w:line="360" w:lineRule="auto"/>
        <w:jc w:val="left"/>
        <w:rPr>
          <w:rFonts w:ascii="宋体" w:hAnsi="宋体" w:cs="Arial"/>
          <w:bCs/>
          <w:color w:val="auto"/>
          <w:szCs w:val="21"/>
          <w:highlight w:val="none"/>
          <w:u w:val="single"/>
        </w:rPr>
      </w:pPr>
    </w:p>
    <w:tbl>
      <w:tblPr>
        <w:tblStyle w:val="26"/>
        <w:tblW w:w="88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965"/>
        <w:gridCol w:w="992"/>
        <w:gridCol w:w="992"/>
        <w:gridCol w:w="3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4" w:hRule="atLeast"/>
          <w:jc w:val="center"/>
        </w:trPr>
        <w:tc>
          <w:tcPr>
            <w:tcW w:w="655" w:type="dxa"/>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410" w:type="dxa"/>
            <w:gridSpan w:val="2"/>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标的名称</w:t>
            </w:r>
          </w:p>
        </w:tc>
        <w:tc>
          <w:tcPr>
            <w:tcW w:w="992" w:type="dxa"/>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数量及单位</w:t>
            </w:r>
          </w:p>
        </w:tc>
        <w:tc>
          <w:tcPr>
            <w:tcW w:w="992" w:type="dxa"/>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所属</w:t>
            </w:r>
          </w:p>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行业</w:t>
            </w:r>
          </w:p>
        </w:tc>
        <w:tc>
          <w:tcPr>
            <w:tcW w:w="3756" w:type="dxa"/>
            <w:noWrap w:val="0"/>
            <w:vAlign w:val="center"/>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655" w:type="dxa"/>
            <w:noWrap w:val="0"/>
            <w:vAlign w:val="top"/>
          </w:tcPr>
          <w:p>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2410" w:type="dxa"/>
            <w:gridSpan w:val="2"/>
            <w:noWrap w:val="0"/>
            <w:vAlign w:val="top"/>
          </w:tcPr>
          <w:p>
            <w:pPr>
              <w:tabs>
                <w:tab w:val="left" w:pos="180"/>
                <w:tab w:val="left" w:pos="1620"/>
              </w:tabs>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用户账号</w:t>
            </w:r>
          </w:p>
        </w:tc>
        <w:tc>
          <w:tcPr>
            <w:tcW w:w="992" w:type="dxa"/>
            <w:noWrap w:val="0"/>
            <w:vAlign w:val="top"/>
          </w:tcPr>
          <w:p>
            <w:pPr>
              <w:tabs>
                <w:tab w:val="left" w:pos="180"/>
                <w:tab w:val="left" w:pos="1620"/>
              </w:tabs>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26000个</w:t>
            </w:r>
          </w:p>
        </w:tc>
        <w:tc>
          <w:tcPr>
            <w:tcW w:w="992" w:type="dxa"/>
            <w:noWrap w:val="0"/>
            <w:vAlign w:val="top"/>
          </w:tcPr>
          <w:p>
            <w:pPr>
              <w:tabs>
                <w:tab w:val="left" w:pos="180"/>
                <w:tab w:val="left" w:pos="1620"/>
              </w:tabs>
              <w:spacing w:line="360" w:lineRule="auto"/>
              <w:jc w:val="center"/>
              <w:rPr>
                <w:rFonts w:hint="eastAsia" w:ascii="宋体" w:hAnsi="宋体" w:cs="宋体"/>
                <w:color w:val="auto"/>
                <w:szCs w:val="21"/>
                <w:highlight w:val="none"/>
              </w:rPr>
            </w:pPr>
          </w:p>
        </w:tc>
        <w:tc>
          <w:tcPr>
            <w:tcW w:w="3756" w:type="dxa"/>
            <w:noWrap w:val="0"/>
            <w:vAlign w:val="center"/>
          </w:tcPr>
          <w:p>
            <w:pPr>
              <w:pStyle w:val="9"/>
              <w:numPr>
                <w:ilvl w:val="0"/>
                <w:numId w:val="0"/>
              </w:numPr>
              <w:spacing w:line="360" w:lineRule="auto"/>
              <w:ind w:leftChars="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提供2.6万个学员账户。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5" w:type="dxa"/>
            <w:noWrap w:val="0"/>
            <w:vAlign w:val="top"/>
          </w:tcPr>
          <w:p>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2410" w:type="dxa"/>
            <w:gridSpan w:val="2"/>
            <w:noWrap w:val="0"/>
            <w:vAlign w:val="top"/>
          </w:tcPr>
          <w:p>
            <w:pPr>
              <w:tabs>
                <w:tab w:val="left" w:pos="180"/>
                <w:tab w:val="left" w:pos="1620"/>
              </w:tabs>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系统技术要求</w:t>
            </w:r>
          </w:p>
        </w:tc>
        <w:tc>
          <w:tcPr>
            <w:tcW w:w="992" w:type="dxa"/>
            <w:noWrap w:val="0"/>
            <w:vAlign w:val="top"/>
          </w:tcPr>
          <w:p>
            <w:pPr>
              <w:tabs>
                <w:tab w:val="left" w:pos="180"/>
                <w:tab w:val="left" w:pos="1620"/>
              </w:tabs>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992" w:type="dxa"/>
            <w:noWrap w:val="0"/>
            <w:vAlign w:val="top"/>
          </w:tcPr>
          <w:p>
            <w:pPr>
              <w:tabs>
                <w:tab w:val="left" w:pos="180"/>
                <w:tab w:val="left" w:pos="1620"/>
              </w:tabs>
              <w:spacing w:line="360" w:lineRule="auto"/>
              <w:rPr>
                <w:rFonts w:hint="eastAsia" w:ascii="宋体" w:hAnsi="宋体" w:cs="宋体"/>
                <w:color w:val="auto"/>
                <w:szCs w:val="21"/>
                <w:highlight w:val="none"/>
              </w:rPr>
            </w:pPr>
          </w:p>
        </w:tc>
        <w:tc>
          <w:tcPr>
            <w:tcW w:w="3756" w:type="dxa"/>
            <w:noWrap w:val="0"/>
            <w:vAlign w:val="top"/>
          </w:tcPr>
          <w:p>
            <w:pPr>
              <w:tabs>
                <w:tab w:val="left" w:pos="180"/>
                <w:tab w:val="left" w:pos="1620"/>
              </w:tabs>
              <w:spacing w:line="240" w:lineRule="auto"/>
              <w:rPr>
                <w:rFonts w:hint="eastAsia" w:eastAsia="宋体"/>
                <w:sz w:val="21"/>
                <w:szCs w:val="21"/>
                <w:lang w:eastAsia="zh-CN"/>
              </w:rPr>
            </w:pPr>
            <w:r>
              <w:rPr>
                <w:rFonts w:hint="eastAsia"/>
                <w:sz w:val="21"/>
                <w:szCs w:val="21"/>
              </w:rPr>
              <w:t>移动端支持</w:t>
            </w:r>
            <w:r>
              <w:rPr>
                <w:rFonts w:hint="eastAsia"/>
                <w:sz w:val="21"/>
                <w:szCs w:val="21"/>
                <w:lang w:eastAsia="zh-CN"/>
              </w:rPr>
              <w:t>：</w:t>
            </w:r>
            <w:r>
              <w:rPr>
                <w:rFonts w:hint="eastAsia"/>
                <w:sz w:val="21"/>
                <w:szCs w:val="21"/>
              </w:rPr>
              <w:t>移动端支持IOS、Android系统下的主流机型（iPhone，小米、华为、oppo、vivo等）</w:t>
            </w:r>
            <w:r>
              <w:rPr>
                <w:rFonts w:hint="eastAsia"/>
                <w:sz w:val="21"/>
                <w:szCs w:val="21"/>
                <w:lang w:eastAsia="zh-CN"/>
              </w:rPr>
              <w:t>。</w:t>
            </w:r>
          </w:p>
          <w:p>
            <w:pPr>
              <w:pStyle w:val="2"/>
              <w:spacing w:line="240" w:lineRule="auto"/>
              <w:rPr>
                <w:rFonts w:hint="eastAsia"/>
                <w:sz w:val="21"/>
                <w:szCs w:val="21"/>
                <w:lang w:val="en-US" w:eastAsia="zh-CN"/>
              </w:rPr>
            </w:pPr>
            <w:r>
              <w:rPr>
                <w:rFonts w:hint="eastAsia"/>
                <w:sz w:val="21"/>
                <w:szCs w:val="21"/>
                <w:lang w:val="en-US" w:eastAsia="zh-CN"/>
              </w:rPr>
              <w:t>稳定性：支持7*24不间断的运行处理，能支持大规模学习活动开展</w:t>
            </w:r>
          </w:p>
          <w:p>
            <w:pPr>
              <w:pStyle w:val="2"/>
              <w:spacing w:line="240" w:lineRule="auto"/>
              <w:rPr>
                <w:rFonts w:hint="eastAsia"/>
                <w:sz w:val="21"/>
                <w:szCs w:val="21"/>
                <w:lang w:val="en-US" w:eastAsia="zh-CN"/>
              </w:rPr>
            </w:pPr>
            <w:r>
              <w:rPr>
                <w:rFonts w:hint="eastAsia"/>
                <w:sz w:val="21"/>
                <w:szCs w:val="21"/>
                <w:lang w:val="en-US" w:eastAsia="zh-CN"/>
              </w:rPr>
              <w:t>可扩展性：系统能与其它系统协同工作，且拥有一定的可扩展性。</w:t>
            </w:r>
          </w:p>
          <w:p>
            <w:pPr>
              <w:pStyle w:val="2"/>
              <w:spacing w:line="240" w:lineRule="auto"/>
              <w:rPr>
                <w:rFonts w:hint="eastAsia"/>
                <w:lang w:val="en-US" w:eastAsia="zh-CN"/>
              </w:rPr>
            </w:pPr>
            <w:r>
              <w:rPr>
                <w:rFonts w:hint="eastAsia"/>
                <w:sz w:val="21"/>
                <w:szCs w:val="21"/>
                <w:lang w:val="en-US" w:eastAsia="zh-CN"/>
              </w:rPr>
              <w:t>系统集成性：支持开放性标准，可与系统平台与软件之间的集成，数据对接，如支持与人力资源系统、OA等系统实现标准数据集成。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5" w:type="dxa"/>
            <w:noWrap w:val="0"/>
            <w:vAlign w:val="top"/>
          </w:tcPr>
          <w:p>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2410" w:type="dxa"/>
            <w:gridSpan w:val="2"/>
            <w:noWrap w:val="0"/>
            <w:vAlign w:val="top"/>
          </w:tcPr>
          <w:p>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系统管理</w:t>
            </w:r>
          </w:p>
        </w:tc>
        <w:tc>
          <w:tcPr>
            <w:tcW w:w="992" w:type="dxa"/>
            <w:noWrap w:val="0"/>
            <w:vAlign w:val="top"/>
          </w:tcPr>
          <w:p>
            <w:pPr>
              <w:tabs>
                <w:tab w:val="left" w:pos="180"/>
                <w:tab w:val="left" w:pos="1620"/>
              </w:tabs>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992" w:type="dxa"/>
            <w:noWrap w:val="0"/>
            <w:vAlign w:val="top"/>
          </w:tcPr>
          <w:p>
            <w:pPr>
              <w:tabs>
                <w:tab w:val="left" w:pos="180"/>
                <w:tab w:val="left" w:pos="1620"/>
              </w:tabs>
              <w:spacing w:line="360" w:lineRule="auto"/>
              <w:jc w:val="center"/>
              <w:rPr>
                <w:rFonts w:hint="eastAsia" w:ascii="宋体" w:hAnsi="宋体" w:cs="宋体"/>
                <w:color w:val="auto"/>
                <w:szCs w:val="21"/>
                <w:highlight w:val="none"/>
              </w:rPr>
            </w:pPr>
          </w:p>
        </w:tc>
        <w:tc>
          <w:tcPr>
            <w:tcW w:w="3756" w:type="dxa"/>
            <w:noWrap w:val="0"/>
            <w:vAlign w:val="top"/>
          </w:tcPr>
          <w:p>
            <w:pPr>
              <w:tabs>
                <w:tab w:val="left" w:pos="180"/>
                <w:tab w:val="left" w:pos="1620"/>
              </w:tabs>
              <w:spacing w:line="24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组织架构管理</w:t>
            </w:r>
            <w:r>
              <w:rPr>
                <w:rFonts w:hint="eastAsia" w:ascii="宋体" w:hAnsi="宋体" w:cs="宋体"/>
                <w:color w:val="auto"/>
                <w:szCs w:val="21"/>
                <w:highlight w:val="none"/>
                <w:lang w:eastAsia="zh-CN"/>
              </w:rPr>
              <w:t>：</w:t>
            </w:r>
            <w:r>
              <w:rPr>
                <w:rFonts w:hint="eastAsia" w:ascii="宋体" w:hAnsi="宋体" w:cs="宋体"/>
                <w:color w:val="auto"/>
                <w:szCs w:val="21"/>
                <w:highlight w:val="none"/>
              </w:rPr>
              <w:t>新增、修改、删除、移动、导入组织信息</w:t>
            </w:r>
            <w:r>
              <w:rPr>
                <w:rFonts w:hint="eastAsia" w:ascii="宋体" w:hAnsi="宋体" w:cs="宋体"/>
                <w:color w:val="auto"/>
                <w:szCs w:val="21"/>
                <w:highlight w:val="none"/>
                <w:lang w:eastAsia="zh-CN"/>
              </w:rPr>
              <w:t>。</w:t>
            </w:r>
          </w:p>
          <w:p>
            <w:pPr>
              <w:tabs>
                <w:tab w:val="left" w:pos="180"/>
                <w:tab w:val="left" w:pos="1620"/>
              </w:tabs>
              <w:spacing w:line="24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人员管理</w:t>
            </w:r>
            <w:r>
              <w:rPr>
                <w:rFonts w:hint="eastAsia" w:ascii="宋体" w:hAnsi="宋体" w:cs="宋体"/>
                <w:color w:val="auto"/>
                <w:szCs w:val="21"/>
                <w:highlight w:val="none"/>
                <w:lang w:eastAsia="zh-CN"/>
              </w:rPr>
              <w:t>：</w:t>
            </w:r>
            <w:r>
              <w:rPr>
                <w:rFonts w:hint="eastAsia" w:ascii="宋体" w:hAnsi="宋体" w:cs="宋体"/>
                <w:color w:val="auto"/>
                <w:szCs w:val="21"/>
                <w:highlight w:val="none"/>
              </w:rPr>
              <w:t>新增、修改、删除、移动、导入个人信息</w:t>
            </w:r>
            <w:r>
              <w:rPr>
                <w:rFonts w:hint="eastAsia" w:ascii="宋体" w:hAnsi="宋体" w:cs="宋体"/>
                <w:color w:val="auto"/>
                <w:szCs w:val="21"/>
                <w:highlight w:val="none"/>
                <w:lang w:eastAsia="zh-CN"/>
              </w:rPr>
              <w:t>。</w:t>
            </w:r>
          </w:p>
          <w:p>
            <w:pPr>
              <w:tabs>
                <w:tab w:val="left" w:pos="180"/>
                <w:tab w:val="left" w:pos="1620"/>
              </w:tabs>
              <w:spacing w:line="24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页面自定义</w:t>
            </w:r>
            <w:r>
              <w:rPr>
                <w:rFonts w:hint="eastAsia" w:ascii="宋体" w:hAnsi="宋体" w:cs="宋体"/>
                <w:color w:val="auto"/>
                <w:szCs w:val="21"/>
                <w:highlight w:val="none"/>
                <w:lang w:eastAsia="zh-CN"/>
              </w:rPr>
              <w:t>：</w:t>
            </w:r>
            <w:r>
              <w:rPr>
                <w:rFonts w:hint="eastAsia" w:ascii="宋体" w:hAnsi="宋体" w:cs="宋体"/>
                <w:color w:val="auto"/>
                <w:szCs w:val="21"/>
                <w:highlight w:val="none"/>
              </w:rPr>
              <w:t>支持DIY首页设置、专属板块设置</w:t>
            </w:r>
            <w:r>
              <w:rPr>
                <w:rFonts w:hint="eastAsia" w:ascii="宋体" w:hAnsi="宋体" w:cs="宋体"/>
                <w:color w:val="auto"/>
                <w:szCs w:val="21"/>
                <w:highlight w:val="none"/>
                <w:lang w:eastAsia="zh-CN"/>
              </w:rPr>
              <w:t>。</w:t>
            </w:r>
          </w:p>
          <w:p>
            <w:pPr>
              <w:tabs>
                <w:tab w:val="left" w:pos="180"/>
                <w:tab w:val="left" w:pos="1620"/>
              </w:tabs>
              <w:spacing w:line="240" w:lineRule="auto"/>
              <w:rPr>
                <w:rFonts w:hint="eastAsia" w:ascii="宋体" w:hAnsi="宋体" w:cs="宋体"/>
                <w:color w:val="auto"/>
                <w:szCs w:val="21"/>
                <w:highlight w:val="none"/>
              </w:rPr>
            </w:pPr>
            <w:r>
              <w:rPr>
                <w:rFonts w:hint="eastAsia" w:ascii="宋体" w:hAnsi="宋体" w:cs="宋体"/>
                <w:color w:val="auto"/>
                <w:szCs w:val="21"/>
                <w:highlight w:val="none"/>
              </w:rPr>
              <w:t>分级管理</w:t>
            </w:r>
            <w:r>
              <w:rPr>
                <w:rFonts w:hint="eastAsia" w:ascii="宋体" w:hAnsi="宋体" w:cs="宋体"/>
                <w:color w:val="auto"/>
                <w:szCs w:val="21"/>
                <w:highlight w:val="none"/>
                <w:lang w:eastAsia="zh-CN"/>
              </w:rPr>
              <w:t>：</w:t>
            </w:r>
            <w:r>
              <w:rPr>
                <w:rFonts w:hint="eastAsia" w:ascii="宋体" w:hAnsi="宋体" w:cs="宋体"/>
                <w:color w:val="auto"/>
                <w:szCs w:val="21"/>
                <w:highlight w:val="none"/>
              </w:rPr>
              <w:t>构建多层级管理人员的管理体系，将相关权限赋予不同的管理人员</w:t>
            </w:r>
          </w:p>
          <w:p>
            <w:pPr>
              <w:tabs>
                <w:tab w:val="left" w:pos="180"/>
                <w:tab w:val="left" w:pos="1620"/>
              </w:tabs>
              <w:spacing w:line="24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系统用户权限</w:t>
            </w:r>
            <w:r>
              <w:rPr>
                <w:rFonts w:hint="eastAsia" w:ascii="宋体" w:hAnsi="宋体" w:cs="宋体"/>
                <w:color w:val="auto"/>
                <w:szCs w:val="21"/>
                <w:highlight w:val="none"/>
                <w:lang w:eastAsia="zh-CN"/>
              </w:rPr>
              <w:t>：</w:t>
            </w:r>
            <w:r>
              <w:rPr>
                <w:rFonts w:hint="eastAsia" w:ascii="宋体" w:hAnsi="宋体" w:cs="宋体"/>
                <w:color w:val="auto"/>
                <w:szCs w:val="21"/>
                <w:highlight w:val="none"/>
              </w:rPr>
              <w:t>控制系统用户只能查看本机构以及下辖机构的各项报表统计数据</w:t>
            </w:r>
            <w:r>
              <w:rPr>
                <w:rFonts w:hint="eastAsia" w:ascii="宋体" w:hAnsi="宋体" w:cs="宋体"/>
                <w:color w:val="auto"/>
                <w:szCs w:val="21"/>
                <w:highlight w:val="none"/>
                <w:lang w:eastAsia="zh-CN"/>
              </w:rPr>
              <w:t>。</w:t>
            </w:r>
          </w:p>
          <w:p>
            <w:pPr>
              <w:tabs>
                <w:tab w:val="left" w:pos="180"/>
                <w:tab w:val="left" w:pos="1620"/>
              </w:tabs>
              <w:spacing w:line="24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消息推送功能</w:t>
            </w:r>
            <w:r>
              <w:rPr>
                <w:rFonts w:hint="eastAsia" w:ascii="宋体" w:hAnsi="宋体" w:cs="宋体"/>
                <w:color w:val="auto"/>
                <w:szCs w:val="21"/>
                <w:highlight w:val="none"/>
                <w:lang w:eastAsia="zh-CN"/>
              </w:rPr>
              <w:t>：</w:t>
            </w:r>
            <w:r>
              <w:rPr>
                <w:rFonts w:hint="eastAsia" w:ascii="宋体" w:hAnsi="宋体" w:cs="宋体"/>
                <w:color w:val="auto"/>
                <w:szCs w:val="21"/>
                <w:highlight w:val="none"/>
              </w:rPr>
              <w:t>支持通过后台批量向员工推送APP通知、邮件等支持资源类型的消息推送、也支持自定义模板的消息推送</w:t>
            </w:r>
            <w:r>
              <w:rPr>
                <w:rFonts w:hint="eastAsia" w:ascii="宋体" w:hAnsi="宋体" w:cs="宋体"/>
                <w:color w:val="auto"/>
                <w:szCs w:val="21"/>
                <w:highlight w:val="none"/>
                <w:lang w:eastAsia="zh-CN"/>
              </w:rPr>
              <w:t>。</w:t>
            </w:r>
          </w:p>
          <w:p>
            <w:pPr>
              <w:tabs>
                <w:tab w:val="left" w:pos="180"/>
                <w:tab w:val="left" w:pos="1620"/>
              </w:tabs>
              <w:spacing w:line="240" w:lineRule="auto"/>
              <w:rPr>
                <w:rFonts w:hint="eastAsia" w:ascii="宋体" w:hAnsi="宋体" w:cs="宋体"/>
                <w:color w:val="auto"/>
                <w:szCs w:val="21"/>
                <w:highlight w:val="none"/>
                <w:lang w:eastAsia="zh-CN"/>
              </w:rPr>
            </w:pPr>
            <w:r>
              <w:rPr>
                <w:rFonts w:hint="eastAsia" w:ascii="宋体" w:hAnsi="宋体" w:cs="宋体"/>
                <w:color w:val="auto"/>
                <w:szCs w:val="21"/>
                <w:highlight w:val="none"/>
              </w:rPr>
              <w:t>数据管理</w:t>
            </w:r>
            <w:r>
              <w:rPr>
                <w:rFonts w:hint="eastAsia" w:ascii="宋体" w:hAnsi="宋体" w:cs="宋体"/>
                <w:color w:val="auto"/>
                <w:szCs w:val="21"/>
                <w:highlight w:val="none"/>
                <w:lang w:eastAsia="zh-CN"/>
              </w:rPr>
              <w:t>：</w:t>
            </w:r>
            <w:r>
              <w:rPr>
                <w:rFonts w:hint="eastAsia" w:ascii="宋体" w:hAnsi="宋体" w:cs="宋体"/>
                <w:color w:val="auto"/>
                <w:szCs w:val="21"/>
                <w:highlight w:val="none"/>
              </w:rPr>
              <w:t>数据统计功能，包含全辖培训概况、机构学习报表、员工学习报表、课程学习报表、讲师授课报表、考试情况报表等，以及各类统计、分析功能，可建立学员档案和讲师档案</w:t>
            </w:r>
            <w:r>
              <w:rPr>
                <w:rFonts w:hint="eastAsia" w:ascii="宋体" w:hAnsi="宋体" w:cs="宋体"/>
                <w:color w:val="auto"/>
                <w:szCs w:val="21"/>
                <w:highlight w:val="none"/>
                <w:lang w:eastAsia="zh-CN"/>
              </w:rPr>
              <w:t>。</w:t>
            </w:r>
          </w:p>
          <w:p>
            <w:pPr>
              <w:tabs>
                <w:tab w:val="left" w:pos="180"/>
                <w:tab w:val="left" w:pos="1620"/>
              </w:tabs>
              <w:spacing w:line="24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用户登录</w:t>
            </w:r>
            <w:r>
              <w:rPr>
                <w:rFonts w:hint="eastAsia" w:ascii="宋体" w:hAnsi="宋体" w:cs="宋体"/>
                <w:color w:val="auto"/>
                <w:szCs w:val="21"/>
                <w:highlight w:val="none"/>
                <w:lang w:eastAsia="zh-CN"/>
              </w:rPr>
              <w:t>：</w:t>
            </w:r>
            <w:r>
              <w:rPr>
                <w:rFonts w:hint="eastAsia" w:ascii="宋体" w:hAnsi="宋体" w:cs="宋体"/>
                <w:color w:val="auto"/>
                <w:szCs w:val="21"/>
                <w:highlight w:val="none"/>
              </w:rPr>
              <w:t>可通过手机号、邮箱等方式登录</w:t>
            </w:r>
            <w:r>
              <w:rPr>
                <w:rFonts w:hint="eastAsia" w:ascii="宋体" w:hAnsi="宋体" w:cs="宋体"/>
                <w:color w:val="auto"/>
                <w:szCs w:val="21"/>
                <w:highlight w:val="none"/>
                <w:lang w:eastAsia="zh-CN"/>
              </w:rPr>
              <w:t>。</w:t>
            </w:r>
          </w:p>
          <w:p>
            <w:pPr>
              <w:tabs>
                <w:tab w:val="left" w:pos="180"/>
                <w:tab w:val="left" w:pos="1620"/>
              </w:tabs>
              <w:spacing w:line="24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其他</w:t>
            </w:r>
            <w:r>
              <w:rPr>
                <w:rFonts w:hint="eastAsia" w:ascii="宋体" w:hAnsi="宋体" w:cs="宋体"/>
                <w:color w:val="auto"/>
                <w:szCs w:val="21"/>
                <w:highlight w:val="none"/>
                <w:lang w:eastAsia="zh-CN"/>
              </w:rPr>
              <w:t>：</w:t>
            </w:r>
            <w:r>
              <w:rPr>
                <w:rFonts w:hint="eastAsia" w:ascii="宋体" w:hAnsi="宋体" w:cs="宋体"/>
                <w:color w:val="auto"/>
                <w:szCs w:val="21"/>
                <w:highlight w:val="none"/>
              </w:rPr>
              <w:t>系统还可以配置记录一些重要操作的审计记录日志，可以查看重要敏感信息的下载、访问、操作等记录</w:t>
            </w:r>
            <w:r>
              <w:rPr>
                <w:rFonts w:hint="eastAsia" w:ascii="宋体" w:hAnsi="宋体" w:cs="宋体"/>
                <w:color w:val="auto"/>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5" w:type="dxa"/>
            <w:noWrap w:val="0"/>
            <w:vAlign w:val="top"/>
          </w:tcPr>
          <w:p>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2410" w:type="dxa"/>
            <w:gridSpan w:val="2"/>
            <w:noWrap w:val="0"/>
            <w:vAlign w:val="top"/>
          </w:tcPr>
          <w:p>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线上课程</w:t>
            </w:r>
          </w:p>
        </w:tc>
        <w:tc>
          <w:tcPr>
            <w:tcW w:w="992" w:type="dxa"/>
            <w:noWrap w:val="0"/>
            <w:vAlign w:val="top"/>
          </w:tcPr>
          <w:p>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992" w:type="dxa"/>
            <w:noWrap w:val="0"/>
            <w:vAlign w:val="top"/>
          </w:tcPr>
          <w:p>
            <w:pPr>
              <w:tabs>
                <w:tab w:val="left" w:pos="180"/>
                <w:tab w:val="left" w:pos="1620"/>
              </w:tabs>
              <w:spacing w:line="360" w:lineRule="auto"/>
              <w:jc w:val="center"/>
              <w:rPr>
                <w:rFonts w:hint="eastAsia" w:ascii="宋体" w:hAnsi="宋体" w:cs="宋体"/>
                <w:color w:val="auto"/>
                <w:szCs w:val="21"/>
                <w:highlight w:val="none"/>
              </w:rPr>
            </w:pPr>
          </w:p>
        </w:tc>
        <w:tc>
          <w:tcPr>
            <w:tcW w:w="3756" w:type="dxa"/>
            <w:noWrap w:val="0"/>
            <w:vAlign w:val="top"/>
          </w:tcPr>
          <w:p>
            <w:pPr>
              <w:tabs>
                <w:tab w:val="left" w:pos="180"/>
                <w:tab w:val="left" w:pos="1620"/>
              </w:tabs>
              <w:spacing w:line="24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课程管理</w:t>
            </w:r>
            <w:r>
              <w:rPr>
                <w:rFonts w:hint="eastAsia" w:ascii="宋体" w:hAnsi="宋体" w:cs="宋体"/>
                <w:color w:val="auto"/>
                <w:szCs w:val="21"/>
                <w:highlight w:val="none"/>
                <w:lang w:eastAsia="zh-CN"/>
              </w:rPr>
              <w:t>：</w:t>
            </w:r>
            <w:r>
              <w:rPr>
                <w:rFonts w:hint="eastAsia" w:ascii="宋体" w:hAnsi="宋体" w:cs="宋体"/>
                <w:color w:val="auto"/>
                <w:szCs w:val="21"/>
                <w:highlight w:val="none"/>
              </w:rPr>
              <w:t>管理平台上所拥有或可使用的课程，包括分类管理、标签管理、课程推送、课程审核等</w:t>
            </w:r>
            <w:r>
              <w:rPr>
                <w:rFonts w:hint="eastAsia" w:ascii="宋体" w:hAnsi="宋体" w:cs="宋体"/>
                <w:color w:val="auto"/>
                <w:szCs w:val="21"/>
                <w:highlight w:val="none"/>
                <w:lang w:eastAsia="zh-CN"/>
              </w:rPr>
              <w:t>。</w:t>
            </w:r>
          </w:p>
          <w:p>
            <w:pPr>
              <w:tabs>
                <w:tab w:val="left" w:pos="180"/>
                <w:tab w:val="left" w:pos="1620"/>
              </w:tabs>
              <w:spacing w:line="240" w:lineRule="auto"/>
              <w:rPr>
                <w:rFonts w:hint="eastAsia" w:ascii="宋体" w:hAnsi="宋体" w:cs="宋体"/>
                <w:color w:val="auto"/>
                <w:szCs w:val="21"/>
                <w:highlight w:val="none"/>
              </w:rPr>
            </w:pPr>
            <w:r>
              <w:rPr>
                <w:rFonts w:hint="eastAsia" w:ascii="宋体" w:hAnsi="宋体" w:cs="宋体"/>
                <w:color w:val="auto"/>
                <w:szCs w:val="21"/>
                <w:highlight w:val="none"/>
              </w:rPr>
              <w:t>设计自有课程，支持视频、音频、PPT、PDF、word、excel等多种格式上传</w:t>
            </w:r>
          </w:p>
          <w:p>
            <w:pPr>
              <w:tabs>
                <w:tab w:val="left" w:pos="180"/>
                <w:tab w:val="left" w:pos="1620"/>
              </w:tabs>
              <w:spacing w:line="24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服务器提供足够大的空间，以保证线上课程存储</w:t>
            </w:r>
            <w:r>
              <w:rPr>
                <w:rFonts w:hint="eastAsia" w:ascii="宋体" w:hAnsi="宋体" w:cs="宋体"/>
                <w:color w:val="auto"/>
                <w:szCs w:val="21"/>
                <w:highlight w:val="none"/>
                <w:lang w:eastAsia="zh-CN"/>
              </w:rPr>
              <w:t>。</w:t>
            </w:r>
          </w:p>
          <w:p>
            <w:pPr>
              <w:tabs>
                <w:tab w:val="left" w:pos="180"/>
                <w:tab w:val="left" w:pos="1620"/>
              </w:tabs>
              <w:spacing w:line="240" w:lineRule="auto"/>
              <w:rPr>
                <w:rFonts w:hint="eastAsia" w:ascii="宋体" w:hAnsi="宋体" w:cs="宋体"/>
                <w:color w:val="auto"/>
                <w:szCs w:val="21"/>
                <w:highlight w:val="none"/>
              </w:rPr>
            </w:pPr>
            <w:r>
              <w:rPr>
                <w:rFonts w:hint="eastAsia" w:ascii="宋体" w:hAnsi="宋体" w:cs="宋体"/>
                <w:color w:val="auto"/>
                <w:szCs w:val="21"/>
                <w:highlight w:val="none"/>
              </w:rPr>
              <w:t>提供课件制作工具，或微课制作模块</w:t>
            </w:r>
          </w:p>
          <w:p>
            <w:pPr>
              <w:tabs>
                <w:tab w:val="left" w:pos="180"/>
                <w:tab w:val="left" w:pos="1620"/>
              </w:tabs>
              <w:spacing w:line="240" w:lineRule="auto"/>
              <w:rPr>
                <w:rFonts w:hint="eastAsia" w:ascii="宋体" w:hAnsi="宋体" w:cs="宋体"/>
                <w:color w:val="auto"/>
                <w:szCs w:val="21"/>
                <w:highlight w:val="none"/>
              </w:rPr>
            </w:pPr>
            <w:r>
              <w:rPr>
                <w:rFonts w:hint="eastAsia" w:ascii="宋体" w:hAnsi="宋体" w:cs="宋体"/>
                <w:color w:val="auto"/>
                <w:szCs w:val="21"/>
                <w:highlight w:val="none"/>
              </w:rPr>
              <w:t>系统附赠成品课程不少于500门，其中金融业专业课程不少于200门，每年更新免费试用课程不少于100门。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5" w:type="dxa"/>
            <w:noWrap w:val="0"/>
            <w:vAlign w:val="top"/>
          </w:tcPr>
          <w:p>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2410" w:type="dxa"/>
            <w:gridSpan w:val="2"/>
            <w:noWrap w:val="0"/>
            <w:vAlign w:val="top"/>
          </w:tcPr>
          <w:p>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多样化学习</w:t>
            </w:r>
          </w:p>
        </w:tc>
        <w:tc>
          <w:tcPr>
            <w:tcW w:w="992" w:type="dxa"/>
            <w:noWrap w:val="0"/>
            <w:vAlign w:val="top"/>
          </w:tcPr>
          <w:p>
            <w:pPr>
              <w:tabs>
                <w:tab w:val="left" w:pos="180"/>
                <w:tab w:val="left" w:pos="1620"/>
              </w:tabs>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992" w:type="dxa"/>
            <w:noWrap w:val="0"/>
            <w:vAlign w:val="top"/>
          </w:tcPr>
          <w:p>
            <w:pPr>
              <w:tabs>
                <w:tab w:val="left" w:pos="180"/>
                <w:tab w:val="left" w:pos="1620"/>
              </w:tabs>
              <w:spacing w:line="360" w:lineRule="auto"/>
              <w:jc w:val="center"/>
              <w:rPr>
                <w:rFonts w:hint="eastAsia" w:ascii="宋体" w:hAnsi="宋体" w:cs="宋体"/>
                <w:color w:val="auto"/>
                <w:szCs w:val="21"/>
                <w:highlight w:val="none"/>
              </w:rPr>
            </w:pPr>
          </w:p>
        </w:tc>
        <w:tc>
          <w:tcPr>
            <w:tcW w:w="3756" w:type="dxa"/>
            <w:noWrap w:val="0"/>
            <w:vAlign w:val="top"/>
          </w:tcPr>
          <w:p>
            <w:pPr>
              <w:tabs>
                <w:tab w:val="left" w:pos="180"/>
                <w:tab w:val="left" w:pos="1620"/>
              </w:tabs>
              <w:spacing w:line="240" w:lineRule="auto"/>
              <w:rPr>
                <w:rFonts w:hint="eastAsia" w:ascii="宋体" w:hAnsi="宋体" w:cs="宋体"/>
                <w:color w:val="auto"/>
                <w:szCs w:val="21"/>
                <w:highlight w:val="none"/>
              </w:rPr>
            </w:pPr>
            <w:r>
              <w:rPr>
                <w:rFonts w:hint="eastAsia" w:ascii="宋体" w:hAnsi="宋体" w:cs="宋体"/>
                <w:color w:val="auto"/>
                <w:szCs w:val="21"/>
                <w:highlight w:val="none"/>
              </w:rPr>
              <w:t>直播课堂</w:t>
            </w:r>
            <w:r>
              <w:rPr>
                <w:rFonts w:hint="eastAsia" w:ascii="宋体" w:hAnsi="宋体" w:cs="宋体"/>
                <w:color w:val="auto"/>
                <w:szCs w:val="21"/>
                <w:highlight w:val="none"/>
                <w:lang w:eastAsia="zh-CN"/>
              </w:rPr>
              <w:t>：</w:t>
            </w:r>
            <w:r>
              <w:rPr>
                <w:rFonts w:hint="eastAsia" w:ascii="宋体" w:hAnsi="宋体" w:cs="宋体"/>
                <w:color w:val="auto"/>
                <w:szCs w:val="21"/>
                <w:highlight w:val="none"/>
              </w:rPr>
              <w:t>可支持不少于</w:t>
            </w: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500</w:t>
            </w:r>
            <w:r>
              <w:rPr>
                <w:rFonts w:hint="eastAsia" w:ascii="宋体" w:hAnsi="宋体" w:cs="宋体"/>
                <w:color w:val="auto"/>
                <w:szCs w:val="21"/>
                <w:highlight w:val="none"/>
              </w:rPr>
              <w:t>人同时在线的直播形式进行在线培训，具有回看、提问、签到等功能，每年直播使用次数不少于24次，单次直播时长不少于4小时。</w:t>
            </w:r>
          </w:p>
          <w:p>
            <w:pPr>
              <w:tabs>
                <w:tab w:val="left" w:pos="180"/>
                <w:tab w:val="left" w:pos="1620"/>
              </w:tabs>
              <w:spacing w:line="240" w:lineRule="auto"/>
              <w:rPr>
                <w:rFonts w:hint="eastAsia" w:ascii="宋体" w:hAnsi="宋体" w:cs="宋体"/>
                <w:color w:val="auto"/>
                <w:szCs w:val="21"/>
                <w:highlight w:val="none"/>
              </w:rPr>
            </w:pPr>
            <w:r>
              <w:rPr>
                <w:rFonts w:hint="eastAsia" w:ascii="宋体" w:hAnsi="宋体" w:cs="宋体"/>
                <w:color w:val="auto"/>
                <w:szCs w:val="21"/>
                <w:highlight w:val="none"/>
              </w:rPr>
              <w:t>学习地图</w:t>
            </w:r>
            <w:r>
              <w:rPr>
                <w:rFonts w:hint="eastAsia" w:ascii="宋体" w:hAnsi="宋体" w:cs="宋体"/>
                <w:color w:val="auto"/>
                <w:szCs w:val="21"/>
                <w:highlight w:val="none"/>
                <w:lang w:eastAsia="zh-CN"/>
              </w:rPr>
              <w:t>：</w:t>
            </w:r>
            <w:r>
              <w:rPr>
                <w:rFonts w:hint="eastAsia" w:ascii="宋体" w:hAnsi="宋体" w:cs="宋体"/>
                <w:color w:val="auto"/>
                <w:szCs w:val="21"/>
                <w:highlight w:val="none"/>
              </w:rPr>
              <w:t>支持按照专业领域、职业生涯各阶段等不同维度的学习地图功能</w:t>
            </w:r>
          </w:p>
          <w:p>
            <w:pPr>
              <w:tabs>
                <w:tab w:val="left" w:pos="180"/>
                <w:tab w:val="left" w:pos="1620"/>
              </w:tabs>
              <w:spacing w:line="24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学习积分</w:t>
            </w:r>
            <w:r>
              <w:rPr>
                <w:rFonts w:hint="eastAsia" w:ascii="宋体" w:hAnsi="宋体" w:cs="宋体"/>
                <w:color w:val="auto"/>
                <w:szCs w:val="21"/>
                <w:highlight w:val="none"/>
                <w:lang w:eastAsia="zh-CN"/>
              </w:rPr>
              <w:t>：</w:t>
            </w:r>
            <w:r>
              <w:rPr>
                <w:rFonts w:hint="eastAsia" w:ascii="宋体" w:hAnsi="宋体" w:cs="宋体"/>
                <w:color w:val="auto"/>
                <w:szCs w:val="21"/>
                <w:highlight w:val="none"/>
              </w:rPr>
              <w:t>支持学习积分获取规则、记录、统计、排名等功能</w:t>
            </w:r>
            <w:r>
              <w:rPr>
                <w:rFonts w:hint="eastAsia" w:ascii="宋体" w:hAnsi="宋体" w:cs="宋体"/>
                <w:color w:val="auto"/>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5" w:type="dxa"/>
            <w:noWrap w:val="0"/>
            <w:vAlign w:val="top"/>
          </w:tcPr>
          <w:p>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2410" w:type="dxa"/>
            <w:gridSpan w:val="2"/>
            <w:noWrap w:val="0"/>
            <w:vAlign w:val="top"/>
          </w:tcPr>
          <w:p>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考试功能</w:t>
            </w:r>
          </w:p>
        </w:tc>
        <w:tc>
          <w:tcPr>
            <w:tcW w:w="992" w:type="dxa"/>
            <w:noWrap w:val="0"/>
            <w:vAlign w:val="top"/>
          </w:tcPr>
          <w:p>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992" w:type="dxa"/>
            <w:noWrap w:val="0"/>
            <w:vAlign w:val="top"/>
          </w:tcPr>
          <w:p>
            <w:pPr>
              <w:tabs>
                <w:tab w:val="left" w:pos="180"/>
                <w:tab w:val="left" w:pos="1620"/>
              </w:tabs>
              <w:spacing w:line="360" w:lineRule="auto"/>
              <w:jc w:val="center"/>
              <w:rPr>
                <w:rFonts w:hint="eastAsia" w:ascii="宋体" w:hAnsi="宋体" w:cs="宋体"/>
                <w:color w:val="auto"/>
                <w:szCs w:val="21"/>
                <w:highlight w:val="none"/>
              </w:rPr>
            </w:pPr>
          </w:p>
        </w:tc>
        <w:tc>
          <w:tcPr>
            <w:tcW w:w="3756" w:type="dxa"/>
            <w:noWrap w:val="0"/>
            <w:vAlign w:val="top"/>
          </w:tcPr>
          <w:p>
            <w:pPr>
              <w:tabs>
                <w:tab w:val="left" w:pos="180"/>
                <w:tab w:val="left" w:pos="1620"/>
              </w:tabs>
              <w:spacing w:line="24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题库管理</w:t>
            </w:r>
            <w:r>
              <w:rPr>
                <w:rFonts w:hint="eastAsia" w:ascii="宋体" w:hAnsi="宋体" w:cs="宋体"/>
                <w:color w:val="auto"/>
                <w:szCs w:val="21"/>
                <w:highlight w:val="none"/>
                <w:lang w:eastAsia="zh-CN"/>
              </w:rPr>
              <w:t>：</w:t>
            </w:r>
            <w:r>
              <w:rPr>
                <w:rFonts w:hint="eastAsia" w:ascii="宋体" w:hAnsi="宋体" w:cs="宋体"/>
                <w:color w:val="auto"/>
                <w:szCs w:val="21"/>
                <w:highlight w:val="none"/>
              </w:rPr>
              <w:t>可进行题目分类、题库分类等自定义分类管理，支持单选、多选、判断、填空、问答等多种形式题目批量导入导出</w:t>
            </w:r>
            <w:r>
              <w:rPr>
                <w:rFonts w:hint="eastAsia" w:ascii="宋体" w:hAnsi="宋体" w:cs="宋体"/>
                <w:color w:val="auto"/>
                <w:szCs w:val="21"/>
                <w:highlight w:val="none"/>
                <w:lang w:eastAsia="zh-CN"/>
              </w:rPr>
              <w:t>。</w:t>
            </w:r>
          </w:p>
          <w:p>
            <w:pPr>
              <w:tabs>
                <w:tab w:val="left" w:pos="180"/>
                <w:tab w:val="left" w:pos="1620"/>
              </w:tabs>
              <w:spacing w:line="24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考试管理</w:t>
            </w:r>
            <w:r>
              <w:rPr>
                <w:rFonts w:hint="eastAsia" w:ascii="宋体" w:hAnsi="宋体" w:cs="宋体"/>
                <w:color w:val="auto"/>
                <w:szCs w:val="21"/>
                <w:highlight w:val="none"/>
                <w:lang w:eastAsia="zh-CN"/>
              </w:rPr>
              <w:t>：</w:t>
            </w:r>
            <w:r>
              <w:rPr>
                <w:rFonts w:hint="eastAsia" w:ascii="宋体" w:hAnsi="宋体" w:cs="宋体"/>
                <w:color w:val="auto"/>
                <w:szCs w:val="21"/>
                <w:highlight w:val="none"/>
              </w:rPr>
              <w:t>可支持多场次、多人数在线考试</w:t>
            </w:r>
            <w:r>
              <w:rPr>
                <w:rFonts w:hint="eastAsia" w:ascii="宋体" w:hAnsi="宋体" w:cs="宋体"/>
                <w:color w:val="auto"/>
                <w:szCs w:val="21"/>
                <w:highlight w:val="none"/>
                <w:lang w:eastAsia="zh-CN"/>
              </w:rPr>
              <w:t>，</w:t>
            </w:r>
            <w:r>
              <w:rPr>
                <w:rFonts w:hint="eastAsia" w:ascii="宋体" w:hAnsi="宋体" w:cs="宋体"/>
                <w:color w:val="auto"/>
                <w:szCs w:val="21"/>
                <w:highlight w:val="none"/>
              </w:rPr>
              <w:t>可自动从题库中按照一定规则抽取题目生成试卷</w:t>
            </w:r>
            <w:r>
              <w:rPr>
                <w:rFonts w:hint="eastAsia" w:ascii="宋体" w:hAnsi="宋体" w:cs="宋体"/>
                <w:color w:val="auto"/>
                <w:szCs w:val="21"/>
                <w:highlight w:val="none"/>
                <w:lang w:eastAsia="zh-CN"/>
              </w:rPr>
              <w:t>，</w:t>
            </w:r>
            <w:r>
              <w:rPr>
                <w:rFonts w:hint="eastAsia" w:ascii="宋体" w:hAnsi="宋体" w:cs="宋体"/>
                <w:color w:val="auto"/>
                <w:szCs w:val="21"/>
                <w:highlight w:val="none"/>
              </w:rPr>
              <w:t>具有防作弊功能</w:t>
            </w:r>
            <w:r>
              <w:rPr>
                <w:rFonts w:hint="eastAsia" w:ascii="宋体" w:hAnsi="宋体" w:cs="宋体"/>
                <w:color w:val="auto"/>
                <w:szCs w:val="21"/>
                <w:highlight w:val="none"/>
                <w:lang w:eastAsia="zh-CN"/>
              </w:rPr>
              <w:t>，</w:t>
            </w:r>
            <w:r>
              <w:rPr>
                <w:rFonts w:hint="eastAsia" w:ascii="宋体" w:hAnsi="宋体" w:cs="宋体"/>
                <w:color w:val="auto"/>
                <w:szCs w:val="21"/>
                <w:highlight w:val="none"/>
              </w:rPr>
              <w:t>支持自动阅卷功能</w:t>
            </w:r>
            <w:r>
              <w:rPr>
                <w:rFonts w:hint="eastAsia" w:ascii="宋体" w:hAnsi="宋体" w:cs="宋体"/>
                <w:color w:val="auto"/>
                <w:szCs w:val="21"/>
                <w:highlight w:val="none"/>
                <w:lang w:eastAsia="zh-CN"/>
              </w:rPr>
              <w:t>，</w:t>
            </w:r>
            <w:r>
              <w:rPr>
                <w:rFonts w:hint="eastAsia" w:ascii="宋体" w:hAnsi="宋体" w:cs="宋体"/>
                <w:color w:val="auto"/>
                <w:szCs w:val="21"/>
                <w:highlight w:val="none"/>
              </w:rPr>
              <w:t>可进行考试结果统计、分析</w:t>
            </w:r>
            <w:r>
              <w:rPr>
                <w:rFonts w:hint="eastAsia" w:ascii="宋体" w:hAnsi="宋体" w:cs="宋体"/>
                <w:color w:val="auto"/>
                <w:szCs w:val="21"/>
                <w:highlight w:val="none"/>
                <w:lang w:eastAsia="zh-CN"/>
              </w:rPr>
              <w:t>。</w:t>
            </w:r>
          </w:p>
          <w:p>
            <w:pPr>
              <w:tabs>
                <w:tab w:val="left" w:pos="180"/>
                <w:tab w:val="left" w:pos="1620"/>
              </w:tabs>
              <w:spacing w:line="24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证书管理</w:t>
            </w:r>
            <w:r>
              <w:rPr>
                <w:rFonts w:hint="eastAsia" w:ascii="宋体" w:hAnsi="宋体" w:cs="宋体"/>
                <w:color w:val="auto"/>
                <w:szCs w:val="21"/>
                <w:highlight w:val="none"/>
                <w:lang w:eastAsia="zh-CN"/>
              </w:rPr>
              <w:t>：</w:t>
            </w:r>
            <w:r>
              <w:rPr>
                <w:rFonts w:hint="eastAsia" w:ascii="宋体" w:hAnsi="宋体" w:cs="宋体"/>
                <w:color w:val="auto"/>
                <w:szCs w:val="21"/>
                <w:highlight w:val="none"/>
              </w:rPr>
              <w:t>通过相应考试认证的员工可以获得相应认证证书，提供证书模板、证书批量发放功能等</w:t>
            </w:r>
            <w:r>
              <w:rPr>
                <w:rFonts w:hint="eastAsia" w:ascii="宋体" w:hAnsi="宋体" w:cs="宋体"/>
                <w:color w:val="auto"/>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5" w:type="dxa"/>
            <w:noWrap w:val="0"/>
            <w:vAlign w:val="top"/>
          </w:tcPr>
          <w:p>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2410" w:type="dxa"/>
            <w:gridSpan w:val="2"/>
            <w:noWrap w:val="0"/>
            <w:vAlign w:val="top"/>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▲评估功能</w:t>
            </w:r>
          </w:p>
        </w:tc>
        <w:tc>
          <w:tcPr>
            <w:tcW w:w="992" w:type="dxa"/>
            <w:noWrap w:val="0"/>
            <w:vAlign w:val="top"/>
          </w:tcPr>
          <w:p>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992" w:type="dxa"/>
            <w:noWrap w:val="0"/>
            <w:vAlign w:val="top"/>
          </w:tcPr>
          <w:p>
            <w:pPr>
              <w:tabs>
                <w:tab w:val="left" w:pos="180"/>
                <w:tab w:val="left" w:pos="1620"/>
              </w:tabs>
              <w:spacing w:line="360" w:lineRule="auto"/>
              <w:jc w:val="center"/>
              <w:rPr>
                <w:rFonts w:hint="eastAsia" w:ascii="宋体" w:hAnsi="宋体" w:cs="宋体"/>
                <w:color w:val="auto"/>
                <w:szCs w:val="21"/>
                <w:highlight w:val="none"/>
              </w:rPr>
            </w:pPr>
          </w:p>
        </w:tc>
        <w:tc>
          <w:tcPr>
            <w:tcW w:w="3756" w:type="dxa"/>
            <w:noWrap w:val="0"/>
            <w:vAlign w:val="top"/>
          </w:tcPr>
          <w:p>
            <w:pPr>
              <w:tabs>
                <w:tab w:val="left" w:pos="180"/>
                <w:tab w:val="left" w:pos="1620"/>
              </w:tabs>
              <w:spacing w:line="24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课堂评估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提供标准培训评估模板，并支持自定义指定评估问卷，支持打分、单选、多选、开放式等多种问题类型</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评估结果可生成评估统计或分析报告</w:t>
            </w:r>
            <w:r>
              <w:rPr>
                <w:rFonts w:hint="eastAsia" w:ascii="宋体" w:hAnsi="宋体" w:eastAsia="宋体" w:cs="宋体"/>
                <w:color w:val="auto"/>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5" w:type="dxa"/>
            <w:noWrap w:val="0"/>
            <w:vAlign w:val="top"/>
          </w:tcPr>
          <w:p>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2410" w:type="dxa"/>
            <w:gridSpan w:val="2"/>
            <w:noWrap w:val="0"/>
            <w:vAlign w:val="top"/>
          </w:tcPr>
          <w:p>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▲安全要求</w:t>
            </w:r>
          </w:p>
        </w:tc>
        <w:tc>
          <w:tcPr>
            <w:tcW w:w="992" w:type="dxa"/>
            <w:noWrap w:val="0"/>
            <w:vAlign w:val="top"/>
          </w:tcPr>
          <w:p>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992" w:type="dxa"/>
            <w:noWrap w:val="0"/>
            <w:vAlign w:val="top"/>
          </w:tcPr>
          <w:p>
            <w:pPr>
              <w:tabs>
                <w:tab w:val="left" w:pos="180"/>
                <w:tab w:val="left" w:pos="1620"/>
              </w:tabs>
              <w:spacing w:line="360" w:lineRule="auto"/>
              <w:jc w:val="center"/>
              <w:rPr>
                <w:rFonts w:hint="eastAsia" w:ascii="宋体" w:hAnsi="宋体" w:cs="宋体"/>
                <w:color w:val="auto"/>
                <w:szCs w:val="21"/>
                <w:highlight w:val="none"/>
              </w:rPr>
            </w:pPr>
          </w:p>
        </w:tc>
        <w:tc>
          <w:tcPr>
            <w:tcW w:w="3756" w:type="dxa"/>
            <w:noWrap w:val="0"/>
            <w:vAlign w:val="top"/>
          </w:tcPr>
          <w:p>
            <w:pPr>
              <w:tabs>
                <w:tab w:val="left" w:pos="180"/>
                <w:tab w:val="left" w:pos="1620"/>
              </w:tabs>
              <w:spacing w:line="24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系统安全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保障操作系统、网络通信系统和应用软件的安全</w:t>
            </w:r>
            <w:r>
              <w:rPr>
                <w:rFonts w:hint="eastAsia" w:ascii="宋体" w:hAnsi="宋体" w:eastAsia="宋体" w:cs="宋体"/>
                <w:color w:val="auto"/>
                <w:szCs w:val="21"/>
                <w:highlight w:val="none"/>
                <w:lang w:eastAsia="zh-CN"/>
              </w:rPr>
              <w:t>。</w:t>
            </w:r>
          </w:p>
          <w:p>
            <w:pPr>
              <w:tabs>
                <w:tab w:val="left" w:pos="180"/>
                <w:tab w:val="left" w:pos="1620"/>
              </w:tabs>
              <w:spacing w:line="24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信息安全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保障信息数据的安全</w:t>
            </w:r>
            <w:r>
              <w:rPr>
                <w:rFonts w:hint="eastAsia" w:ascii="宋体" w:hAnsi="宋体" w:eastAsia="宋体" w:cs="宋体"/>
                <w:color w:val="auto"/>
                <w:szCs w:val="21"/>
                <w:highlight w:val="none"/>
                <w:lang w:eastAsia="zh-CN"/>
              </w:rPr>
              <w:t>。</w:t>
            </w:r>
          </w:p>
          <w:p>
            <w:pPr>
              <w:tabs>
                <w:tab w:val="left" w:pos="180"/>
                <w:tab w:val="left" w:pos="1620"/>
              </w:tabs>
              <w:spacing w:line="24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管理安全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提供有效的管理措施保障系统安全和信息安全</w:t>
            </w:r>
            <w:r>
              <w:rPr>
                <w:rFonts w:hint="eastAsia" w:ascii="宋体" w:hAnsi="宋体" w:eastAsia="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zCs w:val="21"/>
                <w:highlight w:val="none"/>
              </w:rPr>
            </w:pPr>
            <w:r>
              <w:rPr>
                <w:rFonts w:hint="eastAsia" w:ascii="宋体" w:hAnsi="宋体"/>
                <w:b/>
                <w:color w:val="auto"/>
                <w:szCs w:val="21"/>
                <w:highlight w:val="none"/>
              </w:rPr>
              <w:t>一、商务要求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b/>
                <w:color w:val="auto"/>
                <w:szCs w:val="21"/>
                <w:highlight w:val="none"/>
              </w:rPr>
            </w:pPr>
            <w:r>
              <w:rPr>
                <w:rFonts w:hint="eastAsia" w:ascii="宋体" w:hAnsi="宋体" w:cs="宋体"/>
                <w:color w:val="auto"/>
                <w:szCs w:val="21"/>
                <w:highlight w:val="none"/>
              </w:rPr>
              <w:t>交付（实施）的时间（期限）和地点（范围）</w:t>
            </w:r>
          </w:p>
        </w:tc>
        <w:tc>
          <w:tcPr>
            <w:tcW w:w="670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b/>
                <w:color w:val="auto"/>
                <w:szCs w:val="21"/>
                <w:highlight w:val="none"/>
              </w:rPr>
            </w:pPr>
            <w:r>
              <w:rPr>
                <w:rFonts w:hint="eastAsia" w:ascii="宋体" w:hAnsi="宋体" w:eastAsia="宋体" w:cs="宋体"/>
                <w:color w:val="auto"/>
                <w:szCs w:val="21"/>
                <w:highlight w:val="none"/>
              </w:rPr>
              <w:t>项目建设期约1个月，在此期间内完成项目后台组织架构搭建、用户配置、管理人员设置、专属页面设置等服务内容，并满足</w:t>
            </w:r>
            <w:r>
              <w:rPr>
                <w:rFonts w:hint="eastAsia" w:ascii="宋体" w:hAnsi="宋体" w:eastAsia="宋体" w:cs="宋体"/>
                <w:color w:val="auto"/>
                <w:szCs w:val="21"/>
                <w:highlight w:val="none"/>
                <w:lang w:val="en-US" w:eastAsia="zh-CN"/>
              </w:rPr>
              <w:t>移交</w:t>
            </w:r>
            <w:r>
              <w:rPr>
                <w:rFonts w:hint="eastAsia" w:ascii="宋体" w:hAnsi="宋体" w:eastAsia="宋体" w:cs="宋体"/>
                <w:color w:val="auto"/>
                <w:szCs w:val="21"/>
                <w:highlight w:val="none"/>
              </w:rPr>
              <w:t>开放使用条件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项目建设期及服务期共计24个月，服务期以合同约定时间为准。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color w:val="auto"/>
                <w:szCs w:val="21"/>
                <w:highlight w:val="none"/>
              </w:rPr>
            </w:pPr>
            <w:r>
              <w:rPr>
                <w:rFonts w:hint="eastAsia" w:ascii="宋体" w:hAnsi="宋体"/>
                <w:color w:val="auto"/>
                <w:szCs w:val="21"/>
                <w:highlight w:val="none"/>
              </w:rPr>
              <w:t>合同签订时间</w:t>
            </w:r>
          </w:p>
        </w:tc>
        <w:tc>
          <w:tcPr>
            <w:tcW w:w="670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b/>
                <w:color w:val="auto"/>
                <w:szCs w:val="21"/>
                <w:highlight w:val="none"/>
              </w:rPr>
            </w:pPr>
            <w:r>
              <w:rPr>
                <w:rFonts w:hint="eastAsia" w:ascii="宋体" w:hAnsi="宋体" w:eastAsia="宋体" w:cs="宋体"/>
                <w:color w:val="auto"/>
                <w:szCs w:val="21"/>
                <w:highlight w:val="none"/>
              </w:rPr>
              <w:t>采购人和成交供应商应当在响应文件有效期内以及成交通知书发出之日起</w:t>
            </w:r>
            <w:r>
              <w:rPr>
                <w:rFonts w:hint="eastAsia" w:ascii="宋体" w:hAnsi="宋体" w:cs="宋体"/>
                <w:color w:val="auto"/>
                <w:szCs w:val="21"/>
                <w:highlight w:val="none"/>
                <w:lang w:eastAsia="zh-CN"/>
              </w:rPr>
              <w:t>29日</w:t>
            </w:r>
            <w:r>
              <w:rPr>
                <w:rFonts w:hint="eastAsia" w:ascii="宋体" w:hAnsi="宋体" w:eastAsia="宋体" w:cs="宋体"/>
                <w:color w:val="auto"/>
                <w:szCs w:val="21"/>
                <w:highlight w:val="none"/>
              </w:rPr>
              <w:t>之内，根据磋商文件和成交供应商的响应文件订立书面合同。成交供应商无正当理由拒签合同的，采购人取消其成交资格。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color w:val="auto"/>
                <w:szCs w:val="21"/>
                <w:highlight w:val="none"/>
              </w:rPr>
            </w:pPr>
            <w:r>
              <w:rPr>
                <w:rFonts w:hint="eastAsia" w:ascii="宋体" w:hAnsi="宋体"/>
                <w:color w:val="auto"/>
                <w:szCs w:val="21"/>
                <w:highlight w:val="none"/>
              </w:rPr>
              <w:t>付款条件（进度和方式）</w:t>
            </w:r>
          </w:p>
        </w:tc>
        <w:tc>
          <w:tcPr>
            <w:tcW w:w="6705"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1620"/>
              </w:tabs>
              <w:spacing w:line="24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第一期：合同签订生效，在收到乙方出具的增值税专用发票及相关付款资料后</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个工作日内，甲方支付合同价款的20%作为首付款</w:t>
            </w:r>
            <w:r>
              <w:rPr>
                <w:rFonts w:hint="eastAsia" w:ascii="宋体" w:hAnsi="宋体" w:eastAsia="宋体" w:cs="宋体"/>
                <w:color w:val="auto"/>
                <w:szCs w:val="21"/>
                <w:highlight w:val="none"/>
                <w:lang w:eastAsia="zh-CN"/>
              </w:rPr>
              <w:t>。</w:t>
            </w:r>
          </w:p>
          <w:p>
            <w:pPr>
              <w:tabs>
                <w:tab w:val="left" w:pos="180"/>
                <w:tab w:val="left" w:pos="1620"/>
              </w:tabs>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第二期：完成项目建设期有关服务工作，经甲方验收通过后，乙方出具等额有效增值税专用发票及相关付款资料之日起</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个工作日内，甲方支付合同价价款的50%。</w:t>
            </w:r>
          </w:p>
          <w:p>
            <w:pPr>
              <w:tabs>
                <w:tab w:val="left" w:pos="180"/>
                <w:tab w:val="left" w:pos="1620"/>
              </w:tabs>
              <w:spacing w:line="240" w:lineRule="auto"/>
              <w:rPr>
                <w:rFonts w:ascii="宋体" w:hAnsi="宋体"/>
                <w:b/>
                <w:color w:val="auto"/>
                <w:szCs w:val="21"/>
                <w:highlight w:val="none"/>
              </w:rPr>
            </w:pPr>
            <w:r>
              <w:rPr>
                <w:rFonts w:hint="eastAsia" w:ascii="宋体" w:hAnsi="宋体" w:eastAsia="宋体" w:cs="宋体"/>
                <w:color w:val="auto"/>
                <w:szCs w:val="21"/>
                <w:highlight w:val="none"/>
              </w:rPr>
              <w:t>第三期：尾款支付。服务期内需求全部实施落地，且乙方在服务期内配合开展指导维护工作，经甲方组织整体验收通过后，乙方出具等额有效增值税专用发票及相关付款资料之日起</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个工作日内，甲方支付合同价款的30%。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color w:val="auto"/>
                <w:szCs w:val="21"/>
                <w:highlight w:val="none"/>
              </w:rPr>
            </w:pPr>
            <w:r>
              <w:rPr>
                <w:rFonts w:hint="eastAsia" w:ascii="宋体" w:hAnsi="宋体"/>
                <w:color w:val="auto"/>
                <w:szCs w:val="21"/>
                <w:highlight w:val="none"/>
              </w:rPr>
              <w:t>售后服务</w:t>
            </w:r>
          </w:p>
        </w:tc>
        <w:tc>
          <w:tcPr>
            <w:tcW w:w="670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alibri" w:hAnsi="Calibri" w:eastAsia="宋体"/>
                <w:color w:val="auto"/>
                <w:szCs w:val="22"/>
                <w:highlight w:val="none"/>
                <w:lang w:eastAsia="zh-CN"/>
              </w:rPr>
            </w:pPr>
            <w:r>
              <w:rPr>
                <w:rFonts w:hint="eastAsia" w:ascii="Calibri" w:hAnsi="Calibri"/>
                <w:color w:val="auto"/>
                <w:szCs w:val="22"/>
                <w:highlight w:val="none"/>
              </w:rPr>
              <w:t>上线前</w:t>
            </w:r>
            <w:r>
              <w:rPr>
                <w:rFonts w:hint="eastAsia" w:ascii="Calibri" w:hAnsi="Calibri"/>
                <w:color w:val="auto"/>
                <w:szCs w:val="22"/>
                <w:highlight w:val="none"/>
                <w:lang w:eastAsia="zh-CN"/>
              </w:rPr>
              <w:t>：</w:t>
            </w:r>
            <w:r>
              <w:rPr>
                <w:rFonts w:hint="eastAsia" w:ascii="Calibri" w:hAnsi="Calibri"/>
                <w:color w:val="auto"/>
                <w:szCs w:val="22"/>
                <w:highlight w:val="none"/>
              </w:rPr>
              <w:t>提供完善的售后服务方案，上线前对指定系统管理人员进行培训，培训内容包括但不限于系统基本操作、日常运行维护、异常应急处理等</w:t>
            </w:r>
            <w:r>
              <w:rPr>
                <w:rFonts w:hint="eastAsia" w:ascii="Calibri" w:hAnsi="Calibri"/>
                <w:color w:val="auto"/>
                <w:szCs w:val="22"/>
                <w:highlight w:val="none"/>
                <w:lang w:eastAsia="zh-CN"/>
              </w:rPr>
              <w:t>。</w:t>
            </w:r>
          </w:p>
          <w:p>
            <w:pPr>
              <w:widowControl/>
              <w:jc w:val="left"/>
              <w:rPr>
                <w:rFonts w:hint="eastAsia" w:ascii="Calibri" w:hAnsi="Calibri" w:eastAsia="宋体"/>
                <w:color w:val="auto"/>
                <w:szCs w:val="22"/>
                <w:highlight w:val="none"/>
                <w:lang w:eastAsia="zh-CN"/>
              </w:rPr>
            </w:pPr>
            <w:r>
              <w:rPr>
                <w:rFonts w:hint="eastAsia" w:ascii="Calibri" w:hAnsi="Calibri"/>
                <w:color w:val="auto"/>
                <w:szCs w:val="22"/>
                <w:highlight w:val="none"/>
              </w:rPr>
              <w:t>上线后</w:t>
            </w:r>
            <w:r>
              <w:rPr>
                <w:rFonts w:hint="eastAsia" w:ascii="Calibri" w:hAnsi="Calibri"/>
                <w:color w:val="auto"/>
                <w:szCs w:val="22"/>
                <w:highlight w:val="none"/>
                <w:lang w:eastAsia="zh-CN"/>
              </w:rPr>
              <w:t>：</w:t>
            </w:r>
            <w:r>
              <w:rPr>
                <w:rFonts w:hint="eastAsia" w:ascii="Calibri" w:hAnsi="Calibri"/>
                <w:color w:val="auto"/>
                <w:szCs w:val="22"/>
                <w:highlight w:val="none"/>
              </w:rPr>
              <w:t>能够协助及时解决系统上线后出现的各类问题，负责指导系统管理人员进行平台日常维护</w:t>
            </w:r>
            <w:r>
              <w:rPr>
                <w:rFonts w:hint="eastAsia" w:ascii="Calibri" w:hAnsi="Calibri"/>
                <w:color w:val="auto"/>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r>
              <w:rPr>
                <w:rFonts w:hint="eastAsia" w:ascii="宋体" w:hAnsi="宋体"/>
                <w:b/>
                <w:bCs/>
                <w:color w:val="auto"/>
                <w:szCs w:val="21"/>
                <w:highlight w:val="none"/>
              </w:rPr>
              <w:t>二、与实现项目目标相关的其他要求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color w:val="auto"/>
                <w:szCs w:val="21"/>
                <w:highlight w:val="none"/>
              </w:rPr>
            </w:pPr>
            <w:r>
              <w:rPr>
                <w:rFonts w:hint="eastAsia" w:ascii="宋体" w:hAnsi="宋体"/>
                <w:b/>
                <w:color w:val="auto"/>
                <w:szCs w:val="21"/>
                <w:highlight w:val="none"/>
              </w:rPr>
              <w:t>（一）供应商的履约能力要求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b/>
                <w:color w:val="auto"/>
                <w:szCs w:val="21"/>
                <w:highlight w:val="none"/>
                <w:lang w:val="en-US" w:eastAsia="zh-CN"/>
              </w:rPr>
            </w:pPr>
            <w:r>
              <w:rPr>
                <w:rFonts w:hint="eastAsia" w:ascii="宋体" w:hAnsi="宋体"/>
                <w:color w:val="auto"/>
                <w:szCs w:val="21"/>
                <w:highlight w:val="none"/>
                <w:lang w:val="en-US" w:eastAsia="zh-CN"/>
              </w:rPr>
              <w:t>服务要求</w:t>
            </w:r>
          </w:p>
        </w:tc>
        <w:tc>
          <w:tcPr>
            <w:tcW w:w="670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b/>
                <w:color w:val="auto"/>
                <w:szCs w:val="21"/>
                <w:highlight w:val="none"/>
              </w:rPr>
            </w:pPr>
            <w:r>
              <w:rPr>
                <w:rFonts w:hint="eastAsia" w:ascii="宋体" w:hAnsi="宋体" w:eastAsia="宋体"/>
                <w:color w:val="auto"/>
                <w:szCs w:val="21"/>
                <w:highlight w:val="none"/>
              </w:rPr>
              <w:t>服务期内能安全、稳定承载</w:t>
            </w:r>
            <w:r>
              <w:rPr>
                <w:rFonts w:hint="eastAsia" w:ascii="宋体" w:hAnsi="宋体"/>
                <w:color w:val="auto"/>
                <w:szCs w:val="21"/>
                <w:highlight w:val="none"/>
                <w:lang w:val="en-US" w:eastAsia="zh-CN"/>
              </w:rPr>
              <w:t>广西农信社26000人</w:t>
            </w:r>
            <w:r>
              <w:rPr>
                <w:rFonts w:hint="eastAsia" w:ascii="宋体" w:hAnsi="宋体" w:eastAsia="宋体"/>
                <w:color w:val="auto"/>
                <w:szCs w:val="21"/>
                <w:highlight w:val="none"/>
              </w:rPr>
              <w:t>同时在线学习，学习平台课程内容不存在知识产权侵权行为且符合国家有关规定。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1620"/>
              </w:tabs>
              <w:spacing w:line="360" w:lineRule="auto"/>
              <w:rPr>
                <w:rFonts w:ascii="宋体" w:hAnsi="宋体" w:cs="宋体"/>
                <w:bCs/>
                <w:color w:val="auto"/>
                <w:szCs w:val="21"/>
                <w:highlight w:val="none"/>
              </w:rPr>
            </w:pPr>
            <w:r>
              <w:rPr>
                <w:rFonts w:hint="eastAsia" w:ascii="宋体" w:hAnsi="宋体"/>
                <w:b/>
                <w:color w:val="auto"/>
                <w:szCs w:val="21"/>
                <w:highlight w:val="none"/>
              </w:rPr>
              <w:t>（二）验收标准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1620"/>
              </w:tabs>
              <w:spacing w:line="240" w:lineRule="auto"/>
              <w:rPr>
                <w:rFonts w:hint="eastAsia" w:ascii="宋体" w:hAnsi="宋体"/>
                <w:color w:val="auto"/>
                <w:szCs w:val="21"/>
                <w:highlight w:val="none"/>
              </w:rPr>
            </w:pPr>
            <w:r>
              <w:rPr>
                <w:rFonts w:hint="eastAsia" w:ascii="宋体" w:hAnsi="宋体"/>
                <w:color w:val="auto"/>
                <w:szCs w:val="21"/>
                <w:highlight w:val="none"/>
                <w:lang w:val="en-US" w:eastAsia="zh-CN"/>
              </w:rPr>
              <w:t>1.项目建设期（付款第二期）验收标准：完成</w:t>
            </w:r>
            <w:r>
              <w:rPr>
                <w:rFonts w:hint="eastAsia" w:ascii="宋体" w:hAnsi="宋体"/>
                <w:color w:val="auto"/>
                <w:szCs w:val="21"/>
                <w:highlight w:val="none"/>
              </w:rPr>
              <w:t>组织架构搭建、用户配置、管理人员设置、专属页面设置等服务内容，制作操作使用手册，包括用户使用指南、后台管理员操作指南、专属客服（工作人员）联系方式，根据工作需求对广西农合机构员工进行培训。</w:t>
            </w:r>
            <w:r>
              <w:rPr>
                <w:rFonts w:hint="eastAsia" w:ascii="宋体" w:hAnsi="宋体"/>
                <w:color w:val="auto"/>
                <w:szCs w:val="21"/>
                <w:highlight w:val="none"/>
                <w:lang w:val="en-US" w:eastAsia="zh-CN"/>
              </w:rPr>
              <w:t>完成以上服务内容</w:t>
            </w:r>
            <w:r>
              <w:rPr>
                <w:rFonts w:hint="eastAsia" w:ascii="宋体" w:hAnsi="宋体"/>
                <w:color w:val="auto"/>
                <w:szCs w:val="21"/>
                <w:highlight w:val="none"/>
              </w:rPr>
              <w:t>并满足</w:t>
            </w:r>
            <w:r>
              <w:rPr>
                <w:rFonts w:hint="eastAsia" w:ascii="宋体" w:hAnsi="宋体"/>
                <w:color w:val="auto"/>
                <w:szCs w:val="21"/>
                <w:highlight w:val="none"/>
                <w:lang w:val="en-US" w:eastAsia="zh-CN"/>
              </w:rPr>
              <w:t>正常</w:t>
            </w:r>
            <w:r>
              <w:rPr>
                <w:rFonts w:hint="eastAsia" w:ascii="宋体" w:hAnsi="宋体"/>
                <w:color w:val="auto"/>
                <w:szCs w:val="21"/>
                <w:highlight w:val="none"/>
              </w:rPr>
              <w:t>开放使用条件</w:t>
            </w:r>
            <w:r>
              <w:rPr>
                <w:rFonts w:hint="eastAsia" w:ascii="宋体" w:hAnsi="宋体"/>
                <w:color w:val="auto"/>
                <w:szCs w:val="21"/>
                <w:highlight w:val="none"/>
                <w:lang w:eastAsia="zh-CN"/>
              </w:rPr>
              <w:t>。</w:t>
            </w:r>
          </w:p>
          <w:p>
            <w:pPr>
              <w:tabs>
                <w:tab w:val="left" w:pos="180"/>
                <w:tab w:val="left" w:pos="1620"/>
              </w:tabs>
              <w:spacing w:line="240" w:lineRule="auto"/>
              <w:rPr>
                <w:rFonts w:ascii="宋体" w:hAnsi="宋体"/>
                <w:color w:val="auto"/>
                <w:szCs w:val="21"/>
                <w:highlight w:val="none"/>
              </w:rPr>
            </w:pPr>
            <w:r>
              <w:rPr>
                <w:rFonts w:hint="eastAsia" w:ascii="宋体" w:hAnsi="宋体"/>
                <w:color w:val="auto"/>
                <w:szCs w:val="21"/>
                <w:highlight w:val="none"/>
                <w:lang w:val="en-US" w:eastAsia="zh-CN"/>
              </w:rPr>
              <w:t>2.项目服务期（付款第三期）验收标准：</w:t>
            </w:r>
            <w:r>
              <w:rPr>
                <w:rFonts w:hint="eastAsia" w:ascii="宋体" w:hAnsi="宋体"/>
                <w:color w:val="auto"/>
                <w:szCs w:val="21"/>
                <w:highlight w:val="none"/>
              </w:rPr>
              <w:t>提供必要的跟踪、指导、辅导、培训等服务，安排专门人员提供现场培训或远程指导服务，使项目成果得到良好有效利用，日常功能均能正常使用，包括平台使用管理、自制课程编辑上传、考试管理、学员管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r>
              <w:rPr>
                <w:rFonts w:hint="eastAsia" w:ascii="宋体" w:hAnsi="宋体"/>
                <w:b/>
                <w:color w:val="auto"/>
                <w:szCs w:val="21"/>
                <w:highlight w:val="none"/>
              </w:rPr>
              <w:t>（三）其他要求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1620"/>
              </w:tabs>
              <w:spacing w:line="240" w:lineRule="auto"/>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配合接受采购人审计部门的审计和监督。</w:t>
            </w:r>
          </w:p>
          <w:p>
            <w:pPr>
              <w:tabs>
                <w:tab w:val="left" w:pos="180"/>
                <w:tab w:val="left" w:pos="1620"/>
              </w:tabs>
              <w:spacing w:line="240" w:lineRule="auto"/>
              <w:rPr>
                <w:rFonts w:ascii="宋体" w:hAnsi="宋体" w:cs="宋体"/>
                <w:bCs/>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如受政策变化、疫情、灾害等不可控的客观因素影响，可适当延长项目服务期限，采购人不再另行支付费用。</w:t>
            </w:r>
          </w:p>
        </w:tc>
      </w:tr>
    </w:tbl>
    <w:p>
      <w:pPr>
        <w:tabs>
          <w:tab w:val="left" w:pos="180"/>
          <w:tab w:val="left" w:pos="1620"/>
        </w:tabs>
        <w:spacing w:line="360" w:lineRule="auto"/>
        <w:ind w:firstLine="422" w:firstLineChars="200"/>
        <w:rPr>
          <w:rFonts w:ascii="宋体" w:hAnsi="宋体" w:cs="宋体"/>
          <w:b/>
          <w:bCs/>
          <w:color w:val="auto"/>
          <w:szCs w:val="21"/>
          <w:highlight w:val="none"/>
        </w:rPr>
      </w:pPr>
    </w:p>
    <w:p>
      <w:pPr>
        <w:tabs>
          <w:tab w:val="left" w:pos="180"/>
          <w:tab w:val="left" w:pos="1620"/>
        </w:tabs>
        <w:spacing w:line="360" w:lineRule="auto"/>
        <w:ind w:firstLine="422" w:firstLineChars="200"/>
        <w:rPr>
          <w:rFonts w:ascii="宋体" w:hAnsi="宋体" w:cs="宋体"/>
          <w:b/>
          <w:bCs/>
          <w:color w:val="auto"/>
          <w:szCs w:val="21"/>
          <w:highlight w:val="none"/>
        </w:rPr>
      </w:pPr>
    </w:p>
    <w:p>
      <w:pPr>
        <w:tabs>
          <w:tab w:val="left" w:pos="180"/>
          <w:tab w:val="left" w:pos="1620"/>
        </w:tabs>
        <w:spacing w:line="360" w:lineRule="auto"/>
        <w:ind w:firstLine="422" w:firstLineChars="200"/>
        <w:rPr>
          <w:rFonts w:ascii="宋体" w:hAnsi="宋体" w:cs="宋体"/>
          <w:b/>
          <w:bCs/>
          <w:color w:val="auto"/>
          <w:szCs w:val="21"/>
          <w:highlight w:val="none"/>
        </w:rPr>
      </w:pPr>
    </w:p>
    <w:p>
      <w:pPr>
        <w:tabs>
          <w:tab w:val="left" w:pos="180"/>
          <w:tab w:val="left" w:pos="1620"/>
        </w:tabs>
        <w:spacing w:line="360" w:lineRule="auto"/>
        <w:ind w:firstLine="422" w:firstLineChars="200"/>
        <w:rPr>
          <w:rFonts w:ascii="宋体" w:hAnsi="宋体" w:cs="宋体"/>
          <w:b/>
          <w:bCs/>
          <w:color w:val="auto"/>
          <w:szCs w:val="21"/>
          <w:highlight w:val="none"/>
        </w:rPr>
      </w:pPr>
    </w:p>
    <w:p>
      <w:pPr>
        <w:tabs>
          <w:tab w:val="left" w:pos="180"/>
          <w:tab w:val="left" w:pos="1620"/>
        </w:tabs>
        <w:spacing w:line="360" w:lineRule="auto"/>
        <w:ind w:firstLine="422" w:firstLineChars="200"/>
        <w:rPr>
          <w:rFonts w:hint="eastAsia" w:ascii="宋体" w:hAnsi="宋体" w:cs="宋体"/>
          <w:b/>
          <w:bCs/>
          <w:color w:val="auto"/>
          <w:szCs w:val="21"/>
          <w:highlight w:val="none"/>
        </w:rPr>
      </w:pPr>
    </w:p>
    <w:p>
      <w:pPr>
        <w:keepNext/>
        <w:keepLines/>
        <w:autoSpaceDE w:val="0"/>
        <w:autoSpaceDN w:val="0"/>
        <w:adjustRightInd w:val="0"/>
        <w:snapToGrid w:val="0"/>
        <w:jc w:val="both"/>
        <w:textAlignment w:val="bottom"/>
        <w:rPr>
          <w:rFonts w:ascii="宋体" w:hAnsi="宋体" w:cs="宋体"/>
          <w:color w:val="auto"/>
          <w:sz w:val="20"/>
          <w:szCs w:val="20"/>
          <w:highlight w:val="none"/>
        </w:rPr>
        <w:sectPr>
          <w:pgSz w:w="11906" w:h="16838"/>
          <w:pgMar w:top="1440" w:right="1401" w:bottom="1440" w:left="1685" w:header="851" w:footer="992" w:gutter="0"/>
          <w:cols w:space="720" w:num="1"/>
          <w:titlePg/>
          <w:docGrid w:type="lines" w:linePitch="312" w:charSpace="0"/>
        </w:sectPr>
      </w:pPr>
    </w:p>
    <w:p>
      <w:pPr>
        <w:pStyle w:val="3"/>
        <w:jc w:val="center"/>
        <w:rPr>
          <w:rFonts w:hint="eastAsia"/>
          <w:color w:val="auto"/>
          <w:highlight w:val="none"/>
        </w:rPr>
      </w:pPr>
      <w:bookmarkStart w:id="34" w:name="_Toc3224_WPSOffice_Level1"/>
      <w:bookmarkStart w:id="35" w:name="_Toc16405"/>
      <w:bookmarkStart w:id="36" w:name="_Toc74323459"/>
      <w:bookmarkStart w:id="37" w:name="_Toc24966_WPSOffice_Level1"/>
      <w:r>
        <w:rPr>
          <w:rFonts w:hint="eastAsia"/>
          <w:color w:val="auto"/>
          <w:highlight w:val="none"/>
        </w:rPr>
        <w:t>第四章  评审程序、评审方法和评审标</w:t>
      </w:r>
      <w:bookmarkEnd w:id="34"/>
      <w:r>
        <w:rPr>
          <w:rFonts w:hint="eastAsia"/>
          <w:color w:val="auto"/>
          <w:highlight w:val="none"/>
        </w:rPr>
        <w:t>准</w:t>
      </w:r>
      <w:bookmarkEnd w:id="35"/>
      <w:bookmarkEnd w:id="36"/>
      <w:bookmarkEnd w:id="37"/>
    </w:p>
    <w:p>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一、评审程序和评审方法</w:t>
      </w:r>
    </w:p>
    <w:p>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注：采购人在资格审查结束前，对供应商进行信用查询。</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查询渠道：</w:t>
      </w:r>
      <w:r>
        <w:rPr>
          <w:rFonts w:hint="eastAsia" w:ascii="宋体" w:hAnsi="宋体"/>
          <w:color w:val="auto"/>
          <w:szCs w:val="21"/>
          <w:highlight w:val="none"/>
        </w:rPr>
        <w:t>信用中国网站（www.creditchina.gov.cn）或中国政府采购网（www.ccgp.gov.cn）</w:t>
      </w:r>
    </w:p>
    <w:p>
      <w:pPr>
        <w:snapToGrid w:val="0"/>
        <w:spacing w:line="360" w:lineRule="auto"/>
        <w:ind w:firstLine="420" w:firstLineChars="200"/>
        <w:jc w:val="left"/>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信用查询截止时点：</w:t>
      </w:r>
      <w:r>
        <w:rPr>
          <w:rFonts w:hint="eastAsia" w:ascii="宋体" w:hAnsi="宋体" w:cs="宋体"/>
          <w:color w:val="auto"/>
          <w:szCs w:val="21"/>
          <w:highlight w:val="none"/>
          <w:u w:val="single"/>
          <w:lang w:val="en-US" w:eastAsia="zh-CN"/>
        </w:rPr>
        <w:t xml:space="preserve">2023年6月8日      </w:t>
      </w:r>
    </w:p>
    <w:p>
      <w:pPr>
        <w:snapToGrid w:val="0"/>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查询记录和证据留存方式：</w:t>
      </w:r>
      <w:r>
        <w:rPr>
          <w:rFonts w:hint="eastAsia" w:ascii="宋体" w:hAnsi="宋体" w:cs="宋体"/>
          <w:color w:val="auto"/>
          <w:szCs w:val="21"/>
          <w:highlight w:val="none"/>
          <w:u w:val="single"/>
          <w:lang w:val="en-US" w:eastAsia="zh-CN"/>
        </w:rPr>
        <w:t>纸质档案存档</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p>
    <w:p>
      <w:pPr>
        <w:snapToGrid w:val="0"/>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信用信息使用规则：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仅限竞争性磋商使用   </w:t>
      </w:r>
    </w:p>
    <w:p>
      <w:pPr>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）响应文件的资格证明文件缺少任一项“供应商须知前附表”资格证明文件规定的“必须提供”的文件资料的；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采购人应当重新开展采购活动。</w:t>
      </w:r>
    </w:p>
    <w:p>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pPr>
        <w:spacing w:line="360" w:lineRule="auto"/>
        <w:ind w:firstLine="420" w:firstLineChars="200"/>
        <w:rPr>
          <w:rFonts w:hint="eastAsia" w:ascii="宋体" w:hAnsi="宋体" w:cs="宋体"/>
          <w:color w:val="auto"/>
          <w:szCs w:val="21"/>
          <w:highlight w:val="none"/>
        </w:rPr>
      </w:pPr>
      <w:bookmarkStart w:id="38"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38"/>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名或者加盖公章。由委托代理人签名的，</w:t>
      </w:r>
      <w:r>
        <w:rPr>
          <w:rFonts w:hint="eastAsia" w:ascii="宋体" w:hAnsi="宋体" w:cs="宋体"/>
          <w:bCs/>
          <w:color w:val="auto"/>
          <w:szCs w:val="21"/>
          <w:highlight w:val="none"/>
        </w:rPr>
        <w:t>若委托代理人不是响应文件中授权的委托代理人时，必须同时出示有效的授权委托书原件</w:t>
      </w:r>
      <w:r>
        <w:rPr>
          <w:rFonts w:hint="eastAsia" w:ascii="宋体" w:hAnsi="宋体" w:cs="宋体"/>
          <w:color w:val="auto"/>
          <w:spacing w:val="-6"/>
          <w:szCs w:val="21"/>
          <w:highlight w:val="none"/>
        </w:rPr>
        <w:t>。供应商为自然人的，必须由本人签名并附身份证明。</w:t>
      </w:r>
    </w:p>
    <w:p>
      <w:pPr>
        <w:spacing w:line="360" w:lineRule="auto"/>
        <w:ind w:firstLine="396" w:firstLineChars="200"/>
        <w:rPr>
          <w:rFonts w:hint="eastAsia"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1）提供响应文件正、副本数量不足；</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2）响应文件未按磋商文件要求签署、盖章；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3）委托代理人未能出具有效身份证或者出具的身份证与授权委托书中的信息不符的；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4）提交的磋商保证金无效的或者未按照磋商文件的规定提交磋商保证金；</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）商务要求允许负偏离的条款数超过“供应商须知前附表”规定项数的；</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）未对竞标有效期作出响应或者响应文件承诺的竞标有效期不满足磋商文件要求；</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）响应文件的实质性内容未使用中文表述、使用计量单位不符合磋商文件要求；</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）响应文件中的文件资料因填写不齐全或者内容虚假或者出现其他情形而导致被磋商小组认定无效；</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）响应文件含有采购人不能接受的附加条件；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1</w:t>
      </w:r>
      <w:r>
        <w:rPr>
          <w:rFonts w:hint="eastAsia" w:ascii="宋体" w:hAnsi="宋体" w:cs="宋体"/>
          <w:color w:val="auto"/>
          <w:szCs w:val="21"/>
          <w:highlight w:val="none"/>
        </w:rPr>
        <w:t>）属于“供应商须知正文”第7.</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条情形；</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2）技术要求允许负偏离的条款数超过“供应商须知前附表”规定项数；</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3）虚假竞标，或者出现其他情形而导致被磋商小组认定无效；</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w:t>
      </w:r>
      <w:bookmarkStart w:id="39"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39"/>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15</w:t>
      </w:r>
      <w:r>
        <w:rPr>
          <w:rFonts w:hint="eastAsia" w:ascii="宋体" w:hAnsi="宋体" w:cs="宋体"/>
          <w:color w:val="auto"/>
          <w:szCs w:val="21"/>
          <w:highlight w:val="none"/>
        </w:rPr>
        <w:t>）响应文件标注的项目名称或者项目编号与磋商文件标注的项目名称或者项目编号不一致的；</w:t>
      </w:r>
    </w:p>
    <w:p>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1</w:t>
      </w:r>
      <w:r>
        <w:rPr>
          <w:rFonts w:ascii="宋体" w:hAnsi="宋体" w:cs="宋体"/>
          <w:b w:val="0"/>
          <w:bCs w:val="0"/>
          <w:color w:val="auto"/>
          <w:szCs w:val="21"/>
          <w:highlight w:val="none"/>
        </w:rPr>
        <w:t>6</w:t>
      </w:r>
      <w:r>
        <w:rPr>
          <w:rFonts w:hint="eastAsia" w:ascii="宋体" w:hAnsi="宋体" w:cs="宋体"/>
          <w:b w:val="0"/>
          <w:bCs w:val="0"/>
          <w:color w:val="auto"/>
          <w:szCs w:val="21"/>
          <w:highlight w:val="none"/>
        </w:rPr>
        <w:t>）</w:t>
      </w:r>
      <w:r>
        <w:rPr>
          <w:rFonts w:hint="eastAsia" w:ascii="宋体" w:hAnsi="宋体"/>
          <w:b w:val="0"/>
          <w:bCs w:val="0"/>
          <w:color w:val="auto"/>
          <w:szCs w:val="21"/>
          <w:highlight w:val="none"/>
        </w:rPr>
        <w:t>竞争性磋商文件明确不允许分包，响应文件拟分包的；</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17</w:t>
      </w:r>
      <w:r>
        <w:rPr>
          <w:rFonts w:hint="eastAsia" w:ascii="宋体" w:hAnsi="宋体" w:cs="宋体"/>
          <w:color w:val="auto"/>
          <w:szCs w:val="21"/>
          <w:highlight w:val="none"/>
        </w:rPr>
        <w:t>）未响应磋商文件实质性要求；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8</w:t>
      </w:r>
      <w:r>
        <w:rPr>
          <w:rFonts w:hint="eastAsia" w:ascii="宋体" w:hAnsi="宋体" w:cs="宋体"/>
          <w:color w:val="auto"/>
          <w:szCs w:val="21"/>
          <w:highlight w:val="none"/>
        </w:rPr>
        <w:t>）法律、法规和磋商文件规定的其他无效情形。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响应文件未提供“供应商须知前附表” 报价商务技术文件中规定的“竞标报价表”；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w:t>
      </w:r>
      <w:r>
        <w:rPr>
          <w:rFonts w:hint="eastAsia" w:ascii="宋体" w:hAnsi="宋体" w:cs="宋体"/>
          <w:color w:val="auto"/>
          <w:szCs w:val="21"/>
          <w:highlight w:val="none"/>
          <w:lang w:eastAsia="zh-CN"/>
        </w:rPr>
        <w:t>（含</w:t>
      </w:r>
      <w:r>
        <w:rPr>
          <w:rFonts w:hint="eastAsia" w:ascii="宋体" w:hAnsi="宋体" w:cs="宋体"/>
          <w:color w:val="auto"/>
          <w:szCs w:val="21"/>
          <w:highlight w:val="none"/>
        </w:rPr>
        <w:t>分标</w:t>
      </w:r>
      <w:r>
        <w:rPr>
          <w:rFonts w:hint="eastAsia" w:ascii="宋体" w:hAnsi="宋体" w:cs="宋体"/>
          <w:color w:val="auto"/>
          <w:szCs w:val="21"/>
          <w:highlight w:val="none"/>
          <w:lang w:eastAsia="zh-CN"/>
        </w:rPr>
        <w:t>，如有）</w:t>
      </w:r>
      <w:r>
        <w:rPr>
          <w:rFonts w:hint="eastAsia" w:ascii="宋体" w:hAnsi="宋体" w:cs="宋体"/>
          <w:color w:val="auto"/>
          <w:szCs w:val="21"/>
          <w:highlight w:val="none"/>
        </w:rPr>
        <w:t>进行报价或者存在漏项报价；供应商未就所竞标</w:t>
      </w:r>
      <w:r>
        <w:rPr>
          <w:rFonts w:hint="eastAsia" w:ascii="宋体" w:hAnsi="宋体" w:cs="宋体"/>
          <w:color w:val="auto"/>
          <w:szCs w:val="21"/>
          <w:highlight w:val="none"/>
          <w:lang w:eastAsia="zh-CN"/>
        </w:rPr>
        <w:t>（含</w:t>
      </w:r>
      <w:r>
        <w:rPr>
          <w:rFonts w:hint="eastAsia" w:ascii="宋体" w:hAnsi="宋体" w:cs="宋体"/>
          <w:color w:val="auto"/>
          <w:szCs w:val="21"/>
          <w:highlight w:val="none"/>
        </w:rPr>
        <w:t>分标</w:t>
      </w:r>
      <w:r>
        <w:rPr>
          <w:rFonts w:hint="eastAsia" w:ascii="宋体" w:hAnsi="宋体" w:cs="宋体"/>
          <w:color w:val="auto"/>
          <w:szCs w:val="21"/>
          <w:highlight w:val="none"/>
          <w:lang w:eastAsia="zh-CN"/>
        </w:rPr>
        <w:t>，如有）</w:t>
      </w:r>
      <w:r>
        <w:rPr>
          <w:rFonts w:hint="eastAsia" w:ascii="宋体" w:hAnsi="宋体" w:cs="宋体"/>
          <w:color w:val="auto"/>
          <w:szCs w:val="21"/>
          <w:highlight w:val="none"/>
        </w:rPr>
        <w:t>单项内容作唯一报价；供应商未就所竞标</w:t>
      </w:r>
      <w:r>
        <w:rPr>
          <w:rFonts w:hint="eastAsia" w:ascii="宋体" w:hAnsi="宋体" w:cs="宋体"/>
          <w:color w:val="auto"/>
          <w:szCs w:val="21"/>
          <w:highlight w:val="none"/>
          <w:lang w:eastAsia="zh-CN"/>
        </w:rPr>
        <w:t>（含</w:t>
      </w:r>
      <w:r>
        <w:rPr>
          <w:rFonts w:hint="eastAsia" w:ascii="宋体" w:hAnsi="宋体" w:cs="宋体"/>
          <w:color w:val="auto"/>
          <w:szCs w:val="21"/>
          <w:highlight w:val="none"/>
        </w:rPr>
        <w:t>分标</w:t>
      </w:r>
      <w:r>
        <w:rPr>
          <w:rFonts w:hint="eastAsia" w:ascii="宋体" w:hAnsi="宋体" w:cs="宋体"/>
          <w:color w:val="auto"/>
          <w:szCs w:val="21"/>
          <w:highlight w:val="none"/>
          <w:lang w:eastAsia="zh-CN"/>
        </w:rPr>
        <w:t>，如有）</w:t>
      </w:r>
      <w:r>
        <w:rPr>
          <w:rFonts w:hint="eastAsia" w:ascii="宋体" w:hAnsi="宋体" w:cs="宋体"/>
          <w:color w:val="auto"/>
          <w:szCs w:val="21"/>
          <w:highlight w:val="none"/>
        </w:rPr>
        <w:t>全部内容作完整唯一总价报价；供应商响应文件中存在有选择、有条件报价的（磋商文件允许有备选方案或者其他约定的除外）；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4）最后报价超过所竞标</w:t>
      </w:r>
      <w:r>
        <w:rPr>
          <w:rFonts w:hint="eastAsia" w:ascii="宋体" w:hAnsi="宋体" w:cs="宋体"/>
          <w:color w:val="auto"/>
          <w:szCs w:val="21"/>
          <w:highlight w:val="none"/>
          <w:lang w:eastAsia="zh-CN"/>
        </w:rPr>
        <w:t>（含</w:t>
      </w:r>
      <w:r>
        <w:rPr>
          <w:rFonts w:hint="eastAsia" w:ascii="宋体" w:hAnsi="宋体" w:cs="宋体"/>
          <w:color w:val="auto"/>
          <w:szCs w:val="21"/>
          <w:highlight w:val="none"/>
        </w:rPr>
        <w:t>分标</w:t>
      </w:r>
      <w:r>
        <w:rPr>
          <w:rFonts w:hint="eastAsia" w:ascii="宋体" w:hAnsi="宋体" w:cs="宋体"/>
          <w:color w:val="auto"/>
          <w:szCs w:val="21"/>
          <w:highlight w:val="none"/>
          <w:lang w:eastAsia="zh-CN"/>
        </w:rPr>
        <w:t>，如有）</w:t>
      </w:r>
      <w:r>
        <w:rPr>
          <w:rFonts w:hint="eastAsia" w:ascii="宋体" w:hAnsi="宋体" w:cs="宋体"/>
          <w:color w:val="auto"/>
          <w:szCs w:val="21"/>
          <w:highlight w:val="none"/>
        </w:rPr>
        <w:t>规定的采购预算金额或者最高限价的（如本项目公布了最高限价）；</w:t>
      </w:r>
      <w:bookmarkStart w:id="40" w:name="_Hlk42596405"/>
      <w:r>
        <w:rPr>
          <w:rFonts w:hint="eastAsia" w:ascii="宋体" w:hAnsi="宋体" w:cs="宋体"/>
          <w:color w:val="auto"/>
          <w:szCs w:val="21"/>
          <w:highlight w:val="none"/>
        </w:rPr>
        <w:t xml:space="preserve"> </w:t>
      </w:r>
      <w:bookmarkEnd w:id="40"/>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5）修正后的报价，供应商不确认的；或者经供应商确认修正后的最后报价超过所竞标</w:t>
      </w:r>
      <w:r>
        <w:rPr>
          <w:rFonts w:hint="eastAsia" w:ascii="宋体" w:hAnsi="宋体" w:cs="宋体"/>
          <w:color w:val="auto"/>
          <w:szCs w:val="21"/>
          <w:highlight w:val="none"/>
          <w:lang w:eastAsia="zh-CN"/>
        </w:rPr>
        <w:t>（含</w:t>
      </w:r>
      <w:r>
        <w:rPr>
          <w:rFonts w:hint="eastAsia" w:ascii="宋体" w:hAnsi="宋体" w:cs="宋体"/>
          <w:color w:val="auto"/>
          <w:szCs w:val="21"/>
          <w:highlight w:val="none"/>
        </w:rPr>
        <w:t>分标</w:t>
      </w:r>
      <w:r>
        <w:rPr>
          <w:rFonts w:hint="eastAsia" w:ascii="宋体" w:hAnsi="宋体" w:cs="宋体"/>
          <w:color w:val="auto"/>
          <w:szCs w:val="21"/>
          <w:highlight w:val="none"/>
          <w:lang w:eastAsia="zh-CN"/>
        </w:rPr>
        <w:t>，如有）</w:t>
      </w:r>
      <w:r>
        <w:rPr>
          <w:rFonts w:hint="eastAsia" w:ascii="宋体" w:hAnsi="宋体" w:cs="宋体"/>
          <w:color w:val="auto"/>
          <w:szCs w:val="21"/>
          <w:highlight w:val="none"/>
        </w:rPr>
        <w:t>规定的采购预算金额或者最高限价（如本项目公布了最高限价）；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通过符合性审查的合格供应商不足3家的，不得进入磋商环节，采购人应当重新开展采购活动。</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w:t>
      </w:r>
      <w:r>
        <w:rPr>
          <w:rFonts w:hint="eastAsia" w:ascii="宋体" w:hAnsi="宋体" w:cs="宋体"/>
          <w:b/>
          <w:bCs/>
          <w:color w:val="auto"/>
          <w:szCs w:val="21"/>
          <w:highlight w:val="none"/>
        </w:rPr>
        <w:t>，磋商小组可以根据磋商文件和磋商情况实质性变动采购需求中的技术、服务要求以及合同</w:t>
      </w:r>
      <w:r>
        <w:rPr>
          <w:rFonts w:hint="eastAsia" w:ascii="宋体" w:hAnsi="宋体" w:cs="宋体"/>
          <w:b/>
          <w:bCs/>
          <w:color w:val="auto"/>
          <w:szCs w:val="21"/>
          <w:highlight w:val="none"/>
          <w:lang w:eastAsia="zh-CN"/>
        </w:rPr>
        <w:t>文本条</w:t>
      </w:r>
      <w:r>
        <w:rPr>
          <w:rFonts w:hint="eastAsia" w:ascii="宋体" w:hAnsi="宋体" w:cs="宋体"/>
          <w:b/>
          <w:bCs/>
          <w:color w:val="auto"/>
          <w:szCs w:val="21"/>
          <w:highlight w:val="none"/>
        </w:rPr>
        <w:t>款，但不得变动磋商文件中的其他内容。</w:t>
      </w:r>
      <w:r>
        <w:rPr>
          <w:rFonts w:hint="eastAsia" w:ascii="宋体" w:hAnsi="宋体" w:cs="宋体"/>
          <w:color w:val="auto"/>
          <w:szCs w:val="21"/>
          <w:highlight w:val="none"/>
        </w:rPr>
        <w:t>可能实质性变动的内容为采购需求中的技术、服务要求以及合同</w:t>
      </w:r>
      <w:r>
        <w:rPr>
          <w:rFonts w:hint="eastAsia" w:ascii="宋体" w:hAnsi="宋体" w:cs="宋体"/>
          <w:color w:val="auto"/>
          <w:szCs w:val="21"/>
          <w:highlight w:val="none"/>
          <w:lang w:eastAsia="zh-CN"/>
        </w:rPr>
        <w:t>文本</w:t>
      </w:r>
      <w:r>
        <w:rPr>
          <w:rFonts w:hint="eastAsia" w:ascii="宋体" w:hAnsi="宋体" w:cs="宋体"/>
          <w:color w:val="auto"/>
          <w:szCs w:val="21"/>
          <w:highlight w:val="none"/>
        </w:rPr>
        <w:t>条款。</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对磋商文件作出的实质性变动是磋商文件的有效组成部分，由磋商小组及时以书面形式同时通知所有参加磋商的供应商。</w:t>
      </w:r>
    </w:p>
    <w:p>
      <w:pPr>
        <w:spacing w:line="360" w:lineRule="auto"/>
        <w:ind w:firstLine="420" w:firstLineChars="200"/>
        <w:contextualSpacing/>
        <w:rPr>
          <w:rFonts w:hint="eastAsia"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供应商必须按照磋商文件的变动情况和磋商小组的要求重新提交响应文件，并由其法定代表人或者授权代表签名或者加盖公章。由委托代理人签名的，</w:t>
      </w:r>
      <w:r>
        <w:rPr>
          <w:rFonts w:hint="eastAsia" w:ascii="宋体" w:hAnsi="宋体" w:cs="宋体"/>
          <w:bCs/>
          <w:color w:val="auto"/>
          <w:szCs w:val="21"/>
          <w:highlight w:val="none"/>
        </w:rPr>
        <w:t>若委托代理人不是响应文件中授权的委托代理人时，必须同时出示有效的授权委托书原件</w:t>
      </w:r>
      <w:r>
        <w:rPr>
          <w:rFonts w:hint="eastAsia" w:ascii="宋体" w:hAnsi="宋体" w:cs="宋体"/>
          <w:color w:val="auto"/>
          <w:szCs w:val="21"/>
          <w:highlight w:val="none"/>
        </w:rPr>
        <w:t>。供应商为自然人的，必须由本人签名并附身份证明。参加磋商的供应商未在规定时间内重新提交响应文件的，视同退出磋商</w:t>
      </w:r>
      <w:r>
        <w:rPr>
          <w:rFonts w:hint="eastAsia" w:ascii="宋体" w:hAnsi="宋体" w:cs="宋体"/>
          <w:color w:val="auto"/>
          <w:szCs w:val="21"/>
          <w:highlight w:val="none"/>
          <w:lang w:eastAsia="zh-CN"/>
        </w:rPr>
        <w:t>，</w:t>
      </w:r>
      <w:r>
        <w:rPr>
          <w:rFonts w:hint="eastAsia" w:ascii="宋体" w:hAnsi="宋体" w:cs="宋体"/>
          <w:color w:val="auto"/>
          <w:szCs w:val="21"/>
          <w:highlight w:val="none"/>
        </w:rPr>
        <w:t>其响应文件按无效处理。</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pPr>
        <w:widowControl/>
        <w:tabs>
          <w:tab w:val="left" w:pos="540"/>
        </w:tabs>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w:t>
      </w:r>
      <w:r>
        <w:rPr>
          <w:rFonts w:hint="eastAsia" w:ascii="宋体" w:hAnsi="宋体" w:cs="宋体"/>
          <w:color w:val="auto"/>
          <w:szCs w:val="21"/>
          <w:highlight w:val="none"/>
          <w:lang w:eastAsia="zh-CN"/>
        </w:rPr>
        <w:t>人</w:t>
      </w:r>
      <w:r>
        <w:rPr>
          <w:rFonts w:hint="eastAsia" w:ascii="宋体" w:hAnsi="宋体" w:cs="宋体"/>
          <w:color w:val="auto"/>
          <w:szCs w:val="21"/>
          <w:highlight w:val="none"/>
        </w:rPr>
        <w:t>对磋商过程和重要磋商内容进行记录，磋商双方在记录上签名确认。</w:t>
      </w:r>
    </w:p>
    <w:p>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3.7</w:t>
      </w:r>
      <w:r>
        <w:rPr>
          <w:rFonts w:hint="eastAsia" w:ascii="宋体" w:hAnsi="宋体" w:cs="宋体"/>
          <w:color w:val="auto"/>
          <w:szCs w:val="21"/>
          <w:highlight w:val="none"/>
        </w:rPr>
        <w:t>磋商过程中重新提交的响应文件，供应商可以在开启前补充、修改。</w:t>
      </w:r>
    </w:p>
    <w:p>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.8</w:t>
      </w:r>
      <w:r>
        <w:rPr>
          <w:color w:val="auto"/>
          <w:highlight w:val="none"/>
        </w:rPr>
        <w:t>采用竞争性磋商采购方式采购的服务项目（含政府和社会资本合作项目），在采购过程中符合要求的供应商（社会资本）只有2家的，竞争性磋商采购活动可以继续进行。采购过程中符合要求的供应商（社会资本）只有1家的，采购人应当终止竞争性磋商采购活动，发布项目终止公告并说明原因，重新开展采购活动。</w:t>
      </w:r>
    </w:p>
    <w:p>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3.9</w:t>
      </w:r>
      <w:r>
        <w:rPr>
          <w:rFonts w:hint="eastAsia" w:ascii="宋体" w:hAnsi="宋体"/>
          <w:color w:val="auto"/>
          <w:szCs w:val="21"/>
          <w:highlight w:val="none"/>
        </w:rPr>
        <w:t>对磋商过程提交的响应文件进行有效性、完整性和响应程度审查，通过审查的合格供应商不足3家的，采购人应当重新开展采购活动。</w:t>
      </w:r>
    </w:p>
    <w:p>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磋商文件能够详细列明采购标的的技术、服务要求的，磋商结束后，由磋商小组要求所有继续参加磋商的供应商在规定时间内密封提交最后报价。除本章第</w:t>
      </w:r>
      <w:r>
        <w:rPr>
          <w:rFonts w:ascii="宋体" w:hAnsi="宋体" w:cs="宋体"/>
          <w:color w:val="auto"/>
          <w:szCs w:val="21"/>
          <w:highlight w:val="none"/>
        </w:rPr>
        <w:t>4.</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条外，提交最后报价的供应商不得少于3家，否则必须重新采购。</w:t>
      </w:r>
    </w:p>
    <w:p>
      <w:pPr>
        <w:spacing w:line="360" w:lineRule="auto"/>
        <w:ind w:firstLine="420" w:firstLineChars="200"/>
        <w:rPr>
          <w:rFonts w:hint="default"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最后报价是供应商响应文件的有效组成部分。</w:t>
      </w:r>
      <w:r>
        <w:rPr>
          <w:rFonts w:hint="eastAsia" w:ascii="宋体" w:hAnsi="宋体" w:cs="宋体"/>
          <w:color w:val="auto"/>
          <w:szCs w:val="21"/>
          <w:highlight w:val="none"/>
          <w:lang w:eastAsia="zh-CN"/>
        </w:rPr>
        <w:t>符合本章第</w:t>
      </w:r>
      <w:r>
        <w:rPr>
          <w:rFonts w:hint="eastAsia" w:ascii="宋体" w:hAnsi="宋体" w:cs="宋体"/>
          <w:color w:val="auto"/>
          <w:szCs w:val="21"/>
          <w:highlight w:val="none"/>
          <w:lang w:val="en-US" w:eastAsia="zh-CN"/>
        </w:rPr>
        <w:t>3.8条情形，以及</w:t>
      </w:r>
      <w:r>
        <w:rPr>
          <w:rFonts w:hint="eastAsia" w:ascii="宋体" w:hAnsi="宋体" w:cs="宋体"/>
          <w:color w:val="auto"/>
          <w:szCs w:val="21"/>
          <w:highlight w:val="none"/>
        </w:rPr>
        <w:t>市场竞争不充分的科研项目，以及需要扶持的科技成果转化项目</w:t>
      </w:r>
      <w:r>
        <w:rPr>
          <w:rFonts w:hint="eastAsia" w:ascii="宋体" w:hAnsi="宋体" w:cs="宋体"/>
          <w:color w:val="auto"/>
          <w:szCs w:val="21"/>
          <w:highlight w:val="none"/>
          <w:lang w:eastAsia="zh-CN"/>
        </w:rPr>
        <w:t>的</w:t>
      </w:r>
      <w:r>
        <w:rPr>
          <w:rFonts w:hint="eastAsia" w:ascii="宋体" w:hAnsi="宋体" w:cs="宋体"/>
          <w:color w:val="auto"/>
          <w:szCs w:val="21"/>
          <w:highlight w:val="none"/>
        </w:rPr>
        <w:t>，提交最后报价的供应商可以为2家。</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已经提交响应文件的供应商，在提交最后报价之前，可以根据磋商情况退出磋商，退出磋商的供应商的响应文件按无效响应处理。采购人将退还退出磋商的供应商的保证金。</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w:t>
      </w:r>
      <w:r>
        <w:rPr>
          <w:rFonts w:hint="eastAsia" w:ascii="宋体" w:hAnsi="宋体" w:cs="宋体"/>
          <w:color w:val="auto"/>
          <w:szCs w:val="21"/>
          <w:highlight w:val="none"/>
          <w:lang w:eastAsia="zh-CN"/>
        </w:rPr>
        <w:t>，</w:t>
      </w:r>
      <w:r>
        <w:rPr>
          <w:rFonts w:hint="eastAsia" w:ascii="宋体" w:hAnsi="宋体" w:cs="宋体"/>
          <w:color w:val="auto"/>
          <w:szCs w:val="21"/>
          <w:highlight w:val="none"/>
        </w:rPr>
        <w:t>其响应文件按无效处理。</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磋商小组收齐某一分标</w:t>
      </w:r>
      <w:r>
        <w:rPr>
          <w:rFonts w:hint="eastAsia" w:ascii="宋体" w:hAnsi="宋体" w:cs="宋体"/>
          <w:color w:val="auto"/>
          <w:szCs w:val="21"/>
          <w:highlight w:val="none"/>
          <w:lang w:eastAsia="zh-CN"/>
        </w:rPr>
        <w:t>（如有）</w:t>
      </w:r>
      <w:r>
        <w:rPr>
          <w:rFonts w:hint="eastAsia" w:ascii="宋体" w:hAnsi="宋体" w:cs="宋体"/>
          <w:color w:val="auto"/>
          <w:szCs w:val="21"/>
          <w:highlight w:val="none"/>
        </w:rPr>
        <w:t>最后报价后统一开启，磋商小组对最后报价进行有效性、完整性和响应程度的审查。</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响应文件最后报价出现前后不一致的，按照本章第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经供应商确认修正后的最后报价作为评审及签订合同的依据。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9</w:t>
      </w:r>
      <w:r>
        <w:rPr>
          <w:rFonts w:hint="eastAsia" w:ascii="宋体" w:hAnsi="宋体" w:cs="宋体"/>
          <w:color w:val="auto"/>
          <w:szCs w:val="21"/>
          <w:highlight w:val="none"/>
        </w:rPr>
        <w:t>供应商出现最后报价按无效响应处理或者响应文件按无效处理时</w:t>
      </w:r>
      <w:r>
        <w:rPr>
          <w:rFonts w:hint="eastAsia" w:ascii="宋体" w:hAnsi="宋体" w:cs="宋体"/>
          <w:color w:val="auto"/>
          <w:sz w:val="21"/>
          <w:szCs w:val="21"/>
          <w:highlight w:val="none"/>
        </w:rPr>
        <w:t>，磋商小组应当告知有关供应商</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.10</w:t>
      </w:r>
      <w:r>
        <w:rPr>
          <w:rFonts w:hint="eastAsia" w:ascii="宋体" w:hAnsi="宋体" w:cs="宋体"/>
          <w:color w:val="auto"/>
          <w:szCs w:val="21"/>
          <w:highlight w:val="none"/>
        </w:rPr>
        <w:t>最后报价结束后，磋商小组不得再与供应商进行任何形式的商谈。</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pPr>
        <w:spacing w:line="360" w:lineRule="auto"/>
        <w:ind w:firstLine="420" w:firstLineChars="200"/>
        <w:rPr>
          <w:color w:val="auto"/>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hint="eastAsia" w:ascii="宋体" w:hAnsi="宋体"/>
          <w:color w:val="auto"/>
          <w:kern w:val="0"/>
          <w:szCs w:val="21"/>
          <w:highlight w:val="none"/>
        </w:rPr>
      </w:pPr>
      <w:r>
        <w:rPr>
          <w:rFonts w:ascii="宋体" w:hAnsi="宋体" w:cs="宋体"/>
          <w:color w:val="auto"/>
          <w:szCs w:val="21"/>
          <w:highlight w:val="none"/>
        </w:rPr>
        <w:t>5.</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ascii="宋体" w:hAnsi="宋体"/>
          <w:color w:val="auto"/>
          <w:kern w:val="0"/>
          <w:szCs w:val="21"/>
          <w:highlight w:val="none"/>
        </w:rPr>
        <w:t>4.</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r>
        <w:rPr>
          <w:rFonts w:hint="eastAsia" w:ascii="宋体" w:hAnsi="宋体"/>
          <w:bCs/>
          <w:color w:val="auto"/>
          <w:szCs w:val="21"/>
          <w:highlight w:val="none"/>
        </w:rPr>
        <w:t>（按技术得分由高到低排序，技术得分相同的按照技术要求偏离分由高到低排序）。评审得分、最后报价、技术得分、技术要求偏离分均相同的，由磋商小组随机抽取推荐。</w:t>
      </w:r>
    </w:p>
    <w:p>
      <w:pPr>
        <w:spacing w:line="360" w:lineRule="auto"/>
        <w:ind w:firstLine="420" w:firstLineChars="200"/>
        <w:rPr>
          <w:rFonts w:hint="eastAsia" w:ascii="宋体" w:hAnsi="宋体" w:cs="宋体"/>
          <w:color w:val="auto"/>
          <w:szCs w:val="21"/>
          <w:highlight w:val="none"/>
        </w:rPr>
      </w:pPr>
      <w:r>
        <w:rPr>
          <w:rFonts w:ascii="宋体" w:hAnsi="宋体"/>
          <w:color w:val="auto"/>
          <w:kern w:val="0"/>
          <w:szCs w:val="21"/>
          <w:highlight w:val="none"/>
        </w:rPr>
        <w:t>5.</w:t>
      </w:r>
      <w:r>
        <w:rPr>
          <w:rFonts w:hint="eastAsia" w:ascii="宋体" w:hAnsi="宋体"/>
          <w:color w:val="auto"/>
          <w:kern w:val="0"/>
          <w:szCs w:val="21"/>
          <w:highlight w:val="none"/>
          <w:lang w:val="en-US" w:eastAsia="zh-CN"/>
        </w:rPr>
        <w:t>6</w:t>
      </w:r>
      <w:r>
        <w:rPr>
          <w:rFonts w:hint="eastAsia" w:ascii="宋体" w:hAnsi="宋体"/>
          <w:color w:val="auto"/>
          <w:kern w:val="0"/>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tbl>
      <w:tblPr>
        <w:tblStyle w:val="26"/>
        <w:tblW w:w="97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920"/>
        <w:gridCol w:w="6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730" w:type="dxa"/>
            <w:noWrap w:val="0"/>
            <w:vAlign w:val="center"/>
          </w:tcPr>
          <w:p>
            <w:pPr>
              <w:adjustRightInd w:val="0"/>
              <w:spacing w:line="410" w:lineRule="exact"/>
              <w:jc w:val="center"/>
              <w:textAlignment w:val="baseline"/>
              <w:rPr>
                <w:rFonts w:hint="eastAsia" w:ascii="宋体" w:hAnsi="宋体"/>
                <w:b/>
                <w:color w:val="auto"/>
                <w:szCs w:val="21"/>
                <w:highlight w:val="none"/>
              </w:rPr>
            </w:pPr>
            <w:r>
              <w:rPr>
                <w:rFonts w:hint="eastAsia" w:ascii="宋体" w:hAnsi="宋体"/>
                <w:b/>
                <w:color w:val="auto"/>
                <w:szCs w:val="21"/>
                <w:highlight w:val="none"/>
              </w:rPr>
              <w:t>序号</w:t>
            </w:r>
          </w:p>
        </w:tc>
        <w:tc>
          <w:tcPr>
            <w:tcW w:w="2920" w:type="dxa"/>
            <w:noWrap w:val="0"/>
            <w:vAlign w:val="center"/>
          </w:tcPr>
          <w:p>
            <w:pPr>
              <w:adjustRightInd w:val="0"/>
              <w:spacing w:line="410" w:lineRule="exact"/>
              <w:jc w:val="center"/>
              <w:textAlignment w:val="baseline"/>
              <w:rPr>
                <w:rFonts w:hint="eastAsia" w:ascii="宋体" w:hAnsi="宋体"/>
                <w:color w:val="auto"/>
                <w:szCs w:val="21"/>
                <w:highlight w:val="none"/>
              </w:rPr>
            </w:pPr>
            <w:r>
              <w:rPr>
                <w:rFonts w:hint="eastAsia" w:ascii="宋体" w:hAnsi="宋体"/>
                <w:b/>
                <w:color w:val="auto"/>
                <w:szCs w:val="21"/>
                <w:highlight w:val="none"/>
              </w:rPr>
              <w:t>评审因素</w:t>
            </w:r>
          </w:p>
        </w:tc>
        <w:tc>
          <w:tcPr>
            <w:tcW w:w="6085" w:type="dxa"/>
            <w:noWrap w:val="0"/>
            <w:vAlign w:val="center"/>
          </w:tcPr>
          <w:p>
            <w:pPr>
              <w:adjustRightInd w:val="0"/>
              <w:spacing w:line="410" w:lineRule="exact"/>
              <w:jc w:val="center"/>
              <w:textAlignment w:val="baseline"/>
              <w:rPr>
                <w:rFonts w:hint="eastAsia" w:ascii="宋体" w:hAnsi="宋体"/>
                <w:b/>
                <w:color w:val="auto"/>
                <w:szCs w:val="21"/>
                <w:highlight w:val="none"/>
              </w:rPr>
            </w:pPr>
            <w:r>
              <w:rPr>
                <w:rFonts w:hint="eastAsia" w:ascii="宋体" w:hAnsi="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30" w:type="dxa"/>
            <w:noWrap w:val="0"/>
            <w:vAlign w:val="center"/>
          </w:tcPr>
          <w:p>
            <w:pPr>
              <w:adjustRightInd w:val="0"/>
              <w:spacing w:line="360" w:lineRule="auto"/>
              <w:jc w:val="center"/>
              <w:textAlignment w:val="baseline"/>
              <w:rPr>
                <w:rFonts w:hint="eastAsia" w:ascii="宋体" w:hAnsi="宋体"/>
                <w:b/>
                <w:color w:val="auto"/>
                <w:szCs w:val="21"/>
                <w:highlight w:val="none"/>
              </w:rPr>
            </w:pPr>
            <w:r>
              <w:rPr>
                <w:rFonts w:hint="eastAsia" w:ascii="宋体" w:hAnsi="宋体"/>
                <w:b/>
                <w:color w:val="auto"/>
                <w:szCs w:val="21"/>
                <w:highlight w:val="none"/>
              </w:rPr>
              <w:t>1</w:t>
            </w:r>
          </w:p>
        </w:tc>
        <w:tc>
          <w:tcPr>
            <w:tcW w:w="2920" w:type="dxa"/>
            <w:noWrap w:val="0"/>
            <w:vAlign w:val="center"/>
          </w:tcPr>
          <w:p>
            <w:pPr>
              <w:adjustRightInd w:val="0"/>
              <w:spacing w:line="360" w:lineRule="auto"/>
              <w:jc w:val="center"/>
              <w:textAlignment w:val="baseline"/>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商务部分（30分）</w:t>
            </w:r>
          </w:p>
        </w:tc>
        <w:tc>
          <w:tcPr>
            <w:tcW w:w="608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00" w:lineRule="exact"/>
              <w:ind w:left="0" w:leftChars="0" w:right="0" w:rightChars="0" w:firstLine="0" w:firstLineChars="0"/>
              <w:textAlignment w:val="auto"/>
              <w:outlineLvl w:val="9"/>
              <w:rPr>
                <w:rFonts w:hint="eastAsia" w:eastAsia="宋体"/>
                <w:lang w:val="en-US" w:eastAsia="zh-CN"/>
              </w:rPr>
            </w:pPr>
            <w:r>
              <w:rPr>
                <w:rFonts w:hint="eastAsia"/>
                <w:lang w:val="en-US" w:eastAsia="zh-CN"/>
              </w:rPr>
              <w:t>1.</w:t>
            </w:r>
            <w:r>
              <w:rPr>
                <w:rFonts w:hint="eastAsia"/>
              </w:rPr>
              <w:t>类似项目业绩情况</w:t>
            </w:r>
            <w:r>
              <w:rPr>
                <w:rFonts w:hint="eastAsia"/>
                <w:lang w:eastAsia="zh-CN"/>
              </w:rPr>
              <w:t>：</w:t>
            </w:r>
            <w:r>
              <w:rPr>
                <w:rFonts w:hint="eastAsia"/>
                <w:lang w:val="en-US" w:eastAsia="zh-CN"/>
              </w:rPr>
              <w:t>20</w:t>
            </w:r>
            <w:r>
              <w:rPr>
                <w:rFonts w:hint="default"/>
                <w:lang w:eastAsia="zh-CN"/>
              </w:rPr>
              <w:t>20</w:t>
            </w:r>
            <w:r>
              <w:rPr>
                <w:rFonts w:hint="eastAsia"/>
                <w:lang w:val="en-US" w:eastAsia="zh-CN"/>
              </w:rPr>
              <w:t>年以来1月1日以来（以合同签订时间为准）与银行合作的同类项目案例数量进行</w:t>
            </w:r>
            <w:r>
              <w:rPr>
                <w:rFonts w:hint="eastAsia" w:eastAsia="宋体"/>
                <w:lang w:val="en-US" w:eastAsia="zh-CN"/>
              </w:rPr>
              <w:t>评分，每提供一份合同业绩得2分，本项累计最高得分为16分。（需提供签订合同复印件</w:t>
            </w:r>
            <w:r>
              <w:rPr>
                <w:rFonts w:hint="eastAsia" w:eastAsia="宋体"/>
                <w:lang w:val="en-US" w:eastAsia="zh-Hans"/>
              </w:rPr>
              <w:t>，现场验原件。</w:t>
            </w:r>
            <w:r>
              <w:rPr>
                <w:rFonts w:hint="eastAsia" w:eastAsia="宋体"/>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00" w:lineRule="exact"/>
              <w:ind w:left="0" w:leftChars="0" w:right="0" w:rightChars="0" w:firstLine="0" w:firstLineChars="0"/>
              <w:textAlignment w:val="auto"/>
              <w:outlineLvl w:val="9"/>
              <w:rPr>
                <w:rFonts w:hint="eastAsia" w:eastAsia="宋体"/>
                <w:lang w:val="en-US" w:eastAsia="zh-CN"/>
              </w:rPr>
            </w:pPr>
            <w:r>
              <w:rPr>
                <w:rFonts w:hint="eastAsia" w:eastAsia="宋体"/>
                <w:lang w:val="en-US" w:eastAsia="zh-CN"/>
              </w:rPr>
              <w:t>2.</w:t>
            </w:r>
            <w:r>
              <w:rPr>
                <w:rFonts w:hint="eastAsia"/>
              </w:rPr>
              <w:t>类似项目业绩情况</w:t>
            </w:r>
            <w:r>
              <w:rPr>
                <w:rFonts w:hint="eastAsia"/>
                <w:lang w:eastAsia="zh-CN"/>
              </w:rPr>
              <w:t>：</w:t>
            </w:r>
            <w:r>
              <w:rPr>
                <w:rFonts w:hint="eastAsia" w:eastAsia="宋体"/>
                <w:lang w:val="en-US" w:eastAsia="zh-CN"/>
              </w:rPr>
              <w:t>20</w:t>
            </w:r>
            <w:r>
              <w:rPr>
                <w:rFonts w:hint="default" w:eastAsia="宋体"/>
                <w:lang w:val="en-US" w:eastAsia="zh-CN"/>
              </w:rPr>
              <w:t>20</w:t>
            </w:r>
            <w:r>
              <w:rPr>
                <w:rFonts w:hint="eastAsia" w:eastAsia="宋体"/>
                <w:lang w:val="en-US" w:eastAsia="zh-CN"/>
              </w:rPr>
              <w:t>年以来1月1日以来（以合同签订时间为准）与</w:t>
            </w:r>
            <w:r>
              <w:rPr>
                <w:rFonts w:hint="eastAsia" w:eastAsia="宋体"/>
                <w:lang w:val="en-US" w:eastAsia="zh-Hans"/>
              </w:rPr>
              <w:t>省联社</w:t>
            </w:r>
            <w:r>
              <w:rPr>
                <w:rFonts w:hint="eastAsia" w:eastAsia="宋体"/>
                <w:lang w:val="en-US" w:eastAsia="zh-CN"/>
              </w:rPr>
              <w:t>合作的同类项目案例数量进行评分，提供一份合同业绩得</w:t>
            </w:r>
            <w:r>
              <w:rPr>
                <w:rFonts w:hint="default" w:eastAsia="宋体"/>
                <w:lang w:val="en-US" w:eastAsia="zh-CN"/>
              </w:rPr>
              <w:t>4</w:t>
            </w:r>
            <w:r>
              <w:rPr>
                <w:rFonts w:hint="eastAsia" w:eastAsia="宋体"/>
                <w:lang w:val="en-US" w:eastAsia="zh-CN"/>
              </w:rPr>
              <w:t>分，</w:t>
            </w:r>
            <w:r>
              <w:rPr>
                <w:rFonts w:hint="eastAsia" w:eastAsia="宋体"/>
                <w:lang w:val="en-US" w:eastAsia="zh-Hans"/>
              </w:rPr>
              <w:t>否则不得分。</w:t>
            </w:r>
            <w:r>
              <w:rPr>
                <w:rFonts w:hint="eastAsia" w:eastAsia="宋体"/>
                <w:lang w:val="en-US" w:eastAsia="zh-CN"/>
              </w:rPr>
              <w:t>（需提供签订合同复印件</w:t>
            </w:r>
            <w:r>
              <w:rPr>
                <w:rFonts w:hint="eastAsia" w:eastAsia="宋体"/>
                <w:lang w:val="en-US" w:eastAsia="zh-Hans"/>
              </w:rPr>
              <w:t>，现场验原件。</w:t>
            </w:r>
            <w:r>
              <w:rPr>
                <w:rFonts w:hint="eastAsia" w:eastAsia="宋体"/>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00" w:lineRule="exact"/>
              <w:ind w:left="0" w:leftChars="0" w:right="0" w:rightChars="0" w:firstLine="0" w:firstLineChars="0"/>
              <w:textAlignment w:val="auto"/>
              <w:outlineLvl w:val="9"/>
              <w:rPr>
                <w:rFonts w:hint="eastAsia" w:eastAsia="仿宋_GB2312"/>
                <w:lang w:eastAsia="zh-CN"/>
              </w:rPr>
            </w:pPr>
            <w:r>
              <w:rPr>
                <w:rFonts w:hint="eastAsia" w:eastAsia="宋体"/>
                <w:lang w:val="en-US" w:eastAsia="zh-CN"/>
              </w:rPr>
              <w:t>3.</w:t>
            </w:r>
            <w:r>
              <w:rPr>
                <w:rFonts w:hint="eastAsia" w:eastAsia="宋体"/>
                <w:lang w:val="en-US" w:eastAsia="zh-Hans"/>
              </w:rPr>
              <w:t>业绩多样性情况</w:t>
            </w:r>
            <w:r>
              <w:rPr>
                <w:rFonts w:hint="eastAsia" w:eastAsia="宋体"/>
                <w:lang w:val="en-US" w:eastAsia="zh-CN"/>
              </w:rPr>
              <w:t>：20</w:t>
            </w:r>
            <w:r>
              <w:rPr>
                <w:rFonts w:hint="default" w:eastAsia="宋体"/>
                <w:lang w:val="en-US" w:eastAsia="zh-CN"/>
              </w:rPr>
              <w:t>20</w:t>
            </w:r>
            <w:r>
              <w:rPr>
                <w:rFonts w:hint="eastAsia" w:eastAsia="宋体"/>
                <w:lang w:val="en-US" w:eastAsia="zh-CN"/>
              </w:rPr>
              <w:t>年以来1月1日以来（以合同签订时间为准）与</w:t>
            </w:r>
            <w:r>
              <w:rPr>
                <w:rFonts w:hint="eastAsia" w:eastAsia="宋体"/>
                <w:lang w:val="en-US" w:eastAsia="zh-Hans"/>
              </w:rPr>
              <w:t>不同类型银行合作</w:t>
            </w:r>
            <w:r>
              <w:rPr>
                <w:rFonts w:hint="eastAsia" w:eastAsia="宋体"/>
                <w:lang w:val="en-US" w:eastAsia="zh-CN"/>
              </w:rPr>
              <w:t>的同类项目案例数量进行评分</w:t>
            </w:r>
            <w:r>
              <w:rPr>
                <w:rFonts w:hint="eastAsia" w:eastAsia="宋体"/>
                <w:lang w:val="en-US" w:eastAsia="zh-Hans"/>
              </w:rPr>
              <w:t>。提供一份与股份制银行合作的合同得</w:t>
            </w:r>
            <w:r>
              <w:rPr>
                <w:rFonts w:hint="default" w:eastAsia="宋体"/>
                <w:lang w:eastAsia="zh-Hans"/>
              </w:rPr>
              <w:t>2</w:t>
            </w:r>
            <w:r>
              <w:rPr>
                <w:rFonts w:hint="eastAsia" w:eastAsia="宋体"/>
                <w:lang w:val="en-US" w:eastAsia="zh-Hans"/>
              </w:rPr>
              <w:t>分，提供一份与城商行合作的合同得</w:t>
            </w:r>
            <w:r>
              <w:rPr>
                <w:rFonts w:hint="default" w:eastAsia="宋体"/>
                <w:lang w:eastAsia="zh-Hans"/>
              </w:rPr>
              <w:t>2</w:t>
            </w:r>
            <w:r>
              <w:rPr>
                <w:rFonts w:hint="eastAsia" w:eastAsia="宋体"/>
                <w:lang w:val="en-US" w:eastAsia="zh-Hans"/>
              </w:rPr>
              <w:t>分，提供一份与政策性银行合作的合同得</w:t>
            </w:r>
            <w:r>
              <w:rPr>
                <w:rFonts w:hint="default" w:eastAsia="宋体"/>
                <w:lang w:eastAsia="zh-Hans"/>
              </w:rPr>
              <w:t>2</w:t>
            </w:r>
            <w:r>
              <w:rPr>
                <w:rFonts w:hint="eastAsia" w:eastAsia="宋体"/>
                <w:lang w:val="en-US" w:eastAsia="zh-Hans"/>
              </w:rPr>
              <w:t>分，提供一份与农商行合作的合同得</w:t>
            </w:r>
            <w:r>
              <w:rPr>
                <w:rFonts w:hint="default" w:eastAsia="宋体"/>
                <w:lang w:eastAsia="zh-Hans"/>
              </w:rPr>
              <w:t>2</w:t>
            </w:r>
            <w:r>
              <w:rPr>
                <w:rFonts w:hint="eastAsia" w:eastAsia="宋体"/>
                <w:lang w:val="en-US" w:eastAsia="zh-Hans"/>
              </w:rPr>
              <w:t>分，提供一份与省联社合作的合同得</w:t>
            </w:r>
            <w:r>
              <w:rPr>
                <w:rFonts w:hint="default" w:eastAsia="宋体"/>
                <w:lang w:eastAsia="zh-Hans"/>
              </w:rPr>
              <w:t>2</w:t>
            </w:r>
            <w:r>
              <w:rPr>
                <w:rFonts w:hint="eastAsia" w:eastAsia="宋体"/>
                <w:lang w:val="en-US" w:eastAsia="zh-Hans"/>
              </w:rPr>
              <w:t>分，本项累计最高得分为</w:t>
            </w:r>
            <w:r>
              <w:rPr>
                <w:rFonts w:hint="default" w:eastAsia="宋体"/>
                <w:lang w:eastAsia="zh-Hans"/>
              </w:rPr>
              <w:t>10</w:t>
            </w:r>
            <w:r>
              <w:rPr>
                <w:rFonts w:hint="eastAsia" w:eastAsia="宋体"/>
                <w:lang w:val="en-US" w:eastAsia="zh-Hans"/>
              </w:rPr>
              <w:t>分。</w:t>
            </w:r>
            <w:r>
              <w:rPr>
                <w:rFonts w:hint="eastAsia" w:eastAsia="宋体"/>
                <w:lang w:val="en-US" w:eastAsia="zh-CN"/>
              </w:rPr>
              <w:t>（需提供签订合同复印件</w:t>
            </w:r>
            <w:r>
              <w:rPr>
                <w:rFonts w:hint="eastAsia" w:eastAsia="宋体"/>
                <w:lang w:val="en-US" w:eastAsia="zh-Hans"/>
              </w:rPr>
              <w:t>，现场验原件。</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30" w:type="dxa"/>
            <w:noWrap w:val="0"/>
            <w:vAlign w:val="center"/>
          </w:tcPr>
          <w:p>
            <w:pPr>
              <w:adjustRightInd w:val="0"/>
              <w:spacing w:line="360" w:lineRule="auto"/>
              <w:jc w:val="center"/>
              <w:textAlignment w:val="baseline"/>
              <w:rPr>
                <w:rFonts w:hint="eastAsia" w:ascii="宋体" w:hAnsi="宋体"/>
                <w:b/>
                <w:color w:val="auto"/>
                <w:szCs w:val="21"/>
                <w:highlight w:val="none"/>
              </w:rPr>
            </w:pPr>
            <w:r>
              <w:rPr>
                <w:rFonts w:hint="eastAsia" w:ascii="宋体" w:hAnsi="宋体"/>
                <w:b/>
                <w:color w:val="auto"/>
                <w:szCs w:val="21"/>
                <w:highlight w:val="none"/>
              </w:rPr>
              <w:t>2</w:t>
            </w:r>
          </w:p>
        </w:tc>
        <w:tc>
          <w:tcPr>
            <w:tcW w:w="2920" w:type="dxa"/>
            <w:noWrap w:val="0"/>
            <w:vAlign w:val="center"/>
          </w:tcPr>
          <w:p>
            <w:pPr>
              <w:adjustRightInd w:val="0"/>
              <w:spacing w:line="360" w:lineRule="auto"/>
              <w:jc w:val="center"/>
              <w:textAlignment w:val="baseline"/>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技术部分（50分）</w:t>
            </w:r>
          </w:p>
        </w:tc>
        <w:tc>
          <w:tcPr>
            <w:tcW w:w="608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00" w:lineRule="exact"/>
              <w:ind w:left="0" w:leftChars="0" w:right="0" w:rightChars="0" w:firstLine="0" w:firstLineChars="0"/>
              <w:textAlignment w:val="auto"/>
              <w:outlineLvl w:val="9"/>
              <w:rPr>
                <w:rFonts w:hint="eastAsia"/>
                <w:lang w:val="en-US" w:eastAsia="zh-CN"/>
              </w:rPr>
            </w:pPr>
            <w:r>
              <w:rPr>
                <w:rFonts w:hint="eastAsia"/>
                <w:lang w:val="en-US" w:eastAsia="zh-CN"/>
              </w:rPr>
              <w:t>1.现场项目阐述：现场对培训系统项目进行演示，对项目整体规划有清晰的理解，能够充分响应本次项目目标，方案讲解及应答是否表达清晰、逻辑缜密、阐述完整。最优者得</w:t>
            </w:r>
            <w:r>
              <w:rPr>
                <w:rFonts w:hint="default"/>
                <w:lang w:val="en-US" w:eastAsia="zh-CN"/>
              </w:rPr>
              <w:t>10-9</w:t>
            </w:r>
            <w:r>
              <w:rPr>
                <w:rFonts w:hint="eastAsia"/>
                <w:lang w:val="en-US" w:eastAsia="zh-CN"/>
              </w:rPr>
              <w:t>分，次优者得</w:t>
            </w:r>
            <w:r>
              <w:rPr>
                <w:rFonts w:hint="default"/>
                <w:lang w:val="en-US" w:eastAsia="zh-CN"/>
              </w:rPr>
              <w:t>8-6</w:t>
            </w:r>
            <w:r>
              <w:rPr>
                <w:rFonts w:hint="eastAsia"/>
                <w:lang w:val="en-US" w:eastAsia="zh-CN"/>
              </w:rPr>
              <w:t>分，其他得</w:t>
            </w:r>
            <w:r>
              <w:rPr>
                <w:rFonts w:hint="default"/>
                <w:lang w:val="en-US" w:eastAsia="zh-CN"/>
              </w:rPr>
              <w:t>5-0</w:t>
            </w:r>
            <w:r>
              <w:rPr>
                <w:rFonts w:hint="eastAsia"/>
                <w:lang w:val="en-US" w:eastAsia="zh-CN"/>
              </w:rPr>
              <w:t>分。</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00" w:lineRule="exact"/>
              <w:ind w:left="0" w:leftChars="0" w:right="0" w:rightChars="0" w:firstLine="0" w:firstLineChars="0"/>
              <w:textAlignment w:val="auto"/>
              <w:outlineLvl w:val="9"/>
              <w:rPr>
                <w:rFonts w:hint="eastAsia"/>
                <w:lang w:val="en-US" w:eastAsia="zh-CN"/>
              </w:rPr>
            </w:pPr>
            <w:r>
              <w:rPr>
                <w:rFonts w:hint="eastAsia"/>
                <w:lang w:val="en-US" w:eastAsia="zh-CN"/>
              </w:rPr>
              <w:t>2.项目团队：对项目拟投入人员的人数、从业时间、同类型项目经历、稳定性进行打分。最优者得6分，次优者得4分，其他得3分。</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00" w:lineRule="exact"/>
              <w:ind w:left="0" w:leftChars="0" w:right="0" w:rightChars="0" w:firstLine="0" w:firstLineChars="0"/>
              <w:textAlignment w:val="auto"/>
              <w:outlineLvl w:val="9"/>
              <w:rPr>
                <w:rFonts w:hint="eastAsia" w:eastAsia="宋体"/>
                <w:lang w:val="en-US" w:eastAsia="zh-CN"/>
              </w:rPr>
            </w:pPr>
            <w:r>
              <w:rPr>
                <w:rFonts w:hint="eastAsia"/>
                <w:lang w:val="en-US" w:eastAsia="zh-CN"/>
              </w:rPr>
              <w:t>3.项目方案的完整性、功能性、安全性、可行性：</w:t>
            </w:r>
            <w:r>
              <w:rPr>
                <w:rFonts w:hint="eastAsia"/>
                <w:lang w:val="en-US" w:eastAsia="zh-Hans"/>
              </w:rPr>
              <w:t>（1）对方案</w:t>
            </w:r>
            <w:r>
              <w:rPr>
                <w:rFonts w:hint="eastAsia"/>
                <w:lang w:val="en-US" w:eastAsia="zh-CN"/>
              </w:rPr>
              <w:t>响应系统要求</w:t>
            </w:r>
            <w:r>
              <w:rPr>
                <w:rFonts w:hint="eastAsia"/>
                <w:lang w:val="en-US" w:eastAsia="zh-Hans"/>
              </w:rPr>
              <w:t>进行综合评价，</w:t>
            </w:r>
            <w:r>
              <w:rPr>
                <w:rFonts w:hint="eastAsia"/>
                <w:lang w:val="en-US" w:eastAsia="zh-CN"/>
              </w:rPr>
              <w:t>根据满足系统技术要求和管理要求情况进行打分</w:t>
            </w:r>
            <w:r>
              <w:rPr>
                <w:rFonts w:hint="eastAsia"/>
                <w:lang w:val="en-US" w:eastAsia="zh-Hans"/>
              </w:rPr>
              <w:t>。满分</w:t>
            </w:r>
            <w:r>
              <w:rPr>
                <w:rFonts w:hint="eastAsia"/>
                <w:lang w:val="en-US" w:eastAsia="zh-CN"/>
              </w:rPr>
              <w:t>5</w:t>
            </w:r>
            <w:r>
              <w:rPr>
                <w:rFonts w:hint="eastAsia"/>
                <w:lang w:val="en-US" w:eastAsia="zh-Hans"/>
              </w:rPr>
              <w:t>分，</w:t>
            </w:r>
            <w:r>
              <w:rPr>
                <w:rFonts w:hint="eastAsia"/>
                <w:lang w:val="en-US" w:eastAsia="zh-CN"/>
              </w:rPr>
              <w:t>最优者</w:t>
            </w:r>
            <w:r>
              <w:rPr>
                <w:rFonts w:hint="eastAsia"/>
                <w:lang w:val="en-US" w:eastAsia="zh-Hans"/>
              </w:rPr>
              <w:t>得</w:t>
            </w:r>
            <w:r>
              <w:rPr>
                <w:rFonts w:hint="eastAsia"/>
                <w:lang w:val="en-US" w:eastAsia="zh-CN"/>
              </w:rPr>
              <w:t>6</w:t>
            </w:r>
            <w:r>
              <w:rPr>
                <w:rFonts w:hint="eastAsia"/>
                <w:lang w:val="en-US" w:eastAsia="zh-Hans"/>
              </w:rPr>
              <w:t>分</w:t>
            </w:r>
            <w:r>
              <w:rPr>
                <w:rFonts w:hint="eastAsia"/>
                <w:lang w:val="en-US" w:eastAsia="zh-CN"/>
              </w:rPr>
              <w:t>，次优者</w:t>
            </w:r>
            <w:r>
              <w:rPr>
                <w:rFonts w:hint="eastAsia"/>
                <w:lang w:val="en-US" w:eastAsia="zh-Hans"/>
              </w:rPr>
              <w:t>得</w:t>
            </w:r>
            <w:r>
              <w:rPr>
                <w:rFonts w:hint="eastAsia"/>
                <w:lang w:val="en-US" w:eastAsia="zh-CN"/>
              </w:rPr>
              <w:t>4</w:t>
            </w:r>
            <w:r>
              <w:rPr>
                <w:rFonts w:hint="eastAsia"/>
                <w:lang w:val="en-US" w:eastAsia="zh-Hans"/>
              </w:rPr>
              <w:t>分，</w:t>
            </w:r>
            <w:r>
              <w:rPr>
                <w:rFonts w:hint="eastAsia"/>
                <w:lang w:val="en-US" w:eastAsia="zh-CN"/>
              </w:rPr>
              <w:t>以此类推，最低得0分</w:t>
            </w:r>
            <w:r>
              <w:rPr>
                <w:rFonts w:hint="eastAsia"/>
                <w:lang w:val="en-US" w:eastAsia="zh-Hans"/>
              </w:rPr>
              <w:t>；（2）</w:t>
            </w:r>
            <w:r>
              <w:rPr>
                <w:rFonts w:hint="eastAsia"/>
                <w:lang w:val="en-US" w:eastAsia="zh-CN"/>
              </w:rPr>
              <w:t>项目方案</w:t>
            </w:r>
            <w:r>
              <w:rPr>
                <w:rFonts w:hint="eastAsia"/>
                <w:lang w:val="en-US" w:eastAsia="zh-Hans"/>
              </w:rPr>
              <w:t>满足</w:t>
            </w:r>
            <w:r>
              <w:rPr>
                <w:rFonts w:hint="eastAsia"/>
                <w:lang w:val="en-US" w:eastAsia="zh-CN"/>
              </w:rPr>
              <w:t>线上</w:t>
            </w:r>
            <w:r>
              <w:rPr>
                <w:rFonts w:hint="eastAsia"/>
                <w:lang w:val="en-US" w:eastAsia="zh-Hans"/>
              </w:rPr>
              <w:t>培训</w:t>
            </w:r>
            <w:r>
              <w:rPr>
                <w:rFonts w:hint="eastAsia"/>
                <w:lang w:val="en-US" w:eastAsia="zh-CN"/>
              </w:rPr>
              <w:t>多种功能要求进行评分</w:t>
            </w:r>
            <w:r>
              <w:rPr>
                <w:rFonts w:hint="eastAsia"/>
                <w:lang w:val="en-US" w:eastAsia="zh-Hans"/>
              </w:rPr>
              <w:t>，如</w:t>
            </w:r>
            <w:r>
              <w:rPr>
                <w:rFonts w:hint="eastAsia"/>
                <w:lang w:val="en-US" w:eastAsia="zh-CN"/>
              </w:rPr>
              <w:t>在线学习、制作课件或微课、在线直播、在线考试、培训评估、培训资源管理、学习数据管理</w:t>
            </w:r>
            <w:r>
              <w:rPr>
                <w:rFonts w:hint="eastAsia"/>
                <w:lang w:val="en-US" w:eastAsia="zh-Hans"/>
              </w:rPr>
              <w:t>等。</w:t>
            </w:r>
            <w:r>
              <w:rPr>
                <w:rFonts w:hint="eastAsia"/>
                <w:lang w:val="en-US" w:eastAsia="zh-CN"/>
              </w:rPr>
              <w:t>最优者</w:t>
            </w:r>
            <w:r>
              <w:rPr>
                <w:rFonts w:hint="eastAsia"/>
                <w:lang w:val="en-US" w:eastAsia="zh-Hans"/>
              </w:rPr>
              <w:t>得</w:t>
            </w:r>
            <w:r>
              <w:rPr>
                <w:rFonts w:hint="eastAsia"/>
                <w:lang w:val="en-US" w:eastAsia="zh-CN"/>
              </w:rPr>
              <w:t>6</w:t>
            </w:r>
            <w:r>
              <w:rPr>
                <w:rFonts w:hint="eastAsia"/>
                <w:lang w:val="en-US" w:eastAsia="zh-Hans"/>
              </w:rPr>
              <w:t>分</w:t>
            </w:r>
            <w:r>
              <w:rPr>
                <w:rFonts w:hint="eastAsia"/>
                <w:lang w:val="en-US" w:eastAsia="zh-CN"/>
              </w:rPr>
              <w:t>，次优者</w:t>
            </w:r>
            <w:r>
              <w:rPr>
                <w:rFonts w:hint="eastAsia"/>
                <w:lang w:val="en-US" w:eastAsia="zh-Hans"/>
              </w:rPr>
              <w:t>得</w:t>
            </w:r>
            <w:r>
              <w:rPr>
                <w:rFonts w:hint="eastAsia"/>
                <w:lang w:val="en-US" w:eastAsia="zh-CN"/>
              </w:rPr>
              <w:t>4</w:t>
            </w:r>
            <w:r>
              <w:rPr>
                <w:rFonts w:hint="eastAsia"/>
                <w:lang w:val="en-US" w:eastAsia="zh-Hans"/>
              </w:rPr>
              <w:t>分，</w:t>
            </w:r>
            <w:r>
              <w:rPr>
                <w:rFonts w:hint="eastAsia"/>
                <w:lang w:val="en-US" w:eastAsia="zh-CN"/>
              </w:rPr>
              <w:t>以此类推，最低得0分</w:t>
            </w:r>
            <w:r>
              <w:rPr>
                <w:rFonts w:hint="eastAsia"/>
                <w:lang w:val="en-US" w:eastAsia="zh-Hans"/>
              </w:rPr>
              <w:t>；</w:t>
            </w:r>
            <w:r>
              <w:rPr>
                <w:rFonts w:hint="eastAsia"/>
                <w:lang w:val="en-US" w:eastAsia="zh-CN"/>
              </w:rPr>
              <w:t>（3）对系统的安全性进行综合打分，满分6分，根据项目方案响应情况酌情扣分；</w:t>
            </w:r>
            <w:r>
              <w:rPr>
                <w:rFonts w:hint="eastAsia"/>
                <w:lang w:val="en-US" w:eastAsia="zh-Hans"/>
              </w:rPr>
              <w:t>（</w:t>
            </w:r>
            <w:r>
              <w:rPr>
                <w:rFonts w:hint="eastAsia"/>
                <w:lang w:val="en-US" w:eastAsia="zh-CN"/>
              </w:rPr>
              <w:t>4</w:t>
            </w:r>
            <w:r>
              <w:rPr>
                <w:rFonts w:hint="eastAsia"/>
                <w:lang w:val="en-US" w:eastAsia="zh-Hans"/>
              </w:rPr>
              <w:t>）</w:t>
            </w:r>
            <w:r>
              <w:rPr>
                <w:rFonts w:hint="eastAsia"/>
                <w:lang w:val="en-US" w:eastAsia="zh-CN"/>
              </w:rPr>
              <w:t>对提供培训课程数量进行打分，整体数量和金融业相关课程分别打分，其中整体数量3分、金融业相关</w:t>
            </w:r>
            <w:r>
              <w:rPr>
                <w:rFonts w:hint="eastAsia" w:eastAsia="宋体"/>
                <w:lang w:val="en-US" w:eastAsia="zh-CN"/>
              </w:rPr>
              <w:t>课程数量3分。整体数量从高到低分别得3-1分，金融业相关课程数量从高到低分别得3-0分。</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00" w:lineRule="exact"/>
              <w:ind w:left="0" w:leftChars="0" w:right="0" w:rightChars="0" w:firstLine="0" w:firstLineChars="0"/>
              <w:textAlignment w:val="auto"/>
              <w:outlineLvl w:val="9"/>
              <w:rPr>
                <w:rFonts w:hint="eastAsia" w:eastAsia="仿宋_GB2312"/>
                <w:b/>
                <w:bCs w:val="0"/>
                <w:lang w:val="en-US" w:eastAsia="zh-CN"/>
              </w:rPr>
            </w:pPr>
            <w:r>
              <w:rPr>
                <w:rFonts w:hint="eastAsia" w:eastAsia="宋体"/>
                <w:lang w:val="en-US" w:eastAsia="zh-CN"/>
              </w:rPr>
              <w:t>4.售后服务与运维：提供完善的售后服务方案，上线前对广西农村信用社及下辖机构系统管理人员完成配置及开展培训，培训内容包括但不限于系统基本操作、日常运行维护、异常应急处理等，能够协助各级系统管理人员及时解决系统上线后出现的各类问题，负责指导系统管理人员进行平台日常维护。根据方案的合理性、可行性进行综合评分，方案内容最优者得10分，次优者得8分，以此类推，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30" w:type="dxa"/>
            <w:noWrap w:val="0"/>
            <w:vAlign w:val="center"/>
          </w:tcPr>
          <w:p>
            <w:pPr>
              <w:adjustRightInd w:val="0"/>
              <w:spacing w:line="360" w:lineRule="auto"/>
              <w:jc w:val="center"/>
              <w:textAlignment w:val="baseline"/>
              <w:rPr>
                <w:rFonts w:hint="eastAsia" w:ascii="宋体" w:hAnsi="宋体"/>
                <w:b/>
                <w:color w:val="auto"/>
                <w:szCs w:val="21"/>
                <w:highlight w:val="none"/>
              </w:rPr>
            </w:pPr>
            <w:r>
              <w:rPr>
                <w:rFonts w:hint="eastAsia" w:ascii="宋体" w:hAnsi="宋体"/>
                <w:b/>
                <w:color w:val="auto"/>
                <w:szCs w:val="21"/>
                <w:highlight w:val="none"/>
              </w:rPr>
              <w:t>3</w:t>
            </w:r>
          </w:p>
        </w:tc>
        <w:tc>
          <w:tcPr>
            <w:tcW w:w="2920" w:type="dxa"/>
            <w:noWrap w:val="0"/>
            <w:vAlign w:val="center"/>
          </w:tcPr>
          <w:p>
            <w:pPr>
              <w:adjustRightInd w:val="0"/>
              <w:spacing w:line="360" w:lineRule="auto"/>
              <w:jc w:val="center"/>
              <w:textAlignment w:val="baseline"/>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价格部分</w:t>
            </w:r>
          </w:p>
        </w:tc>
        <w:tc>
          <w:tcPr>
            <w:tcW w:w="60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bCs/>
                <w:color w:val="auto"/>
                <w:szCs w:val="21"/>
                <w:highlight w:val="none"/>
              </w:rPr>
            </w:pPr>
            <w:r>
              <w:rPr>
                <w:rFonts w:hint="eastAsia" w:eastAsia="宋体"/>
                <w:lang w:val="en-US" w:eastAsia="zh-CN"/>
              </w:rPr>
              <w:t>评审基准价是指满足本次采购项目的内容要求的所有有效供应商的响应报价平均价为评审基准价，当响应报价等于评审基准价得满分，响应报价在等于评审基准价基础上每增加1％扣</w:t>
            </w:r>
            <w:r>
              <w:rPr>
                <w:rFonts w:hint="default" w:eastAsia="宋体"/>
                <w:lang w:val="en-US" w:eastAsia="zh-CN"/>
              </w:rPr>
              <w:t>2</w:t>
            </w:r>
            <w:r>
              <w:rPr>
                <w:rFonts w:hint="eastAsia" w:eastAsia="宋体"/>
                <w:lang w:val="en-US" w:eastAsia="zh-CN"/>
              </w:rPr>
              <w:t>分，响应报价在等于评审基准价基础上每减少1％扣0.5分（以实际计取），按比例内插，保留两位小数点。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35" w:type="dxa"/>
            <w:gridSpan w:val="3"/>
            <w:noWrap w:val="0"/>
            <w:vAlign w:val="center"/>
          </w:tcPr>
          <w:p>
            <w:pPr>
              <w:pStyle w:val="16"/>
              <w:spacing w:line="360" w:lineRule="auto"/>
              <w:ind w:firstLine="420"/>
              <w:rPr>
                <w:rFonts w:hint="eastAsia" w:hAnsi="宋体" w:cs="Courier New"/>
                <w:bCs/>
                <w:color w:val="auto"/>
                <w:kern w:val="2"/>
                <w:sz w:val="21"/>
                <w:highlight w:val="none"/>
              </w:rPr>
            </w:pPr>
            <w:r>
              <w:rPr>
                <w:rFonts w:hint="eastAsia" w:hAnsi="宋体" w:cs="Courier New"/>
                <w:b/>
                <w:bCs/>
                <w:color w:val="auto"/>
                <w:kern w:val="2"/>
                <w:sz w:val="21"/>
                <w:highlight w:val="none"/>
              </w:rPr>
              <w:t>总得分=1+2+3。</w:t>
            </w:r>
          </w:p>
        </w:tc>
      </w:tr>
    </w:tbl>
    <w:p>
      <w:pPr>
        <w:spacing w:line="360" w:lineRule="auto"/>
        <w:ind w:firstLine="420" w:firstLineChars="200"/>
        <w:rPr>
          <w:rFonts w:hint="eastAsia" w:ascii="宋体" w:hAnsi="宋体"/>
          <w:color w:val="auto"/>
          <w:szCs w:val="21"/>
          <w:highlight w:val="none"/>
        </w:rPr>
      </w:pPr>
    </w:p>
    <w:p>
      <w:pPr>
        <w:spacing w:line="400" w:lineRule="exact"/>
        <w:ind w:firstLine="420" w:firstLineChars="200"/>
        <w:rPr>
          <w:rFonts w:hint="eastAsia" w:ascii="宋体" w:hAnsi="宋体" w:cs="宋体"/>
          <w:color w:val="auto"/>
          <w:highlight w:val="none"/>
        </w:rPr>
      </w:pPr>
    </w:p>
    <w:p>
      <w:pPr>
        <w:spacing w:line="400" w:lineRule="exact"/>
        <w:ind w:firstLine="420" w:firstLineChars="200"/>
        <w:rPr>
          <w:rFonts w:hint="eastAsia" w:ascii="宋体" w:hAnsi="宋体" w:cs="宋体"/>
          <w:color w:val="auto"/>
          <w:highlight w:val="none"/>
        </w:rPr>
      </w:pPr>
    </w:p>
    <w:p>
      <w:pPr>
        <w:pStyle w:val="4"/>
        <w:rPr>
          <w:color w:val="auto"/>
          <w:highlight w:val="none"/>
        </w:rPr>
      </w:pPr>
    </w:p>
    <w:p>
      <w:pPr>
        <w:pStyle w:val="3"/>
        <w:jc w:val="both"/>
        <w:rPr>
          <w:color w:val="auto"/>
          <w:highlight w:val="none"/>
        </w:rPr>
        <w:sectPr>
          <w:pgSz w:w="11906" w:h="16838"/>
          <w:pgMar w:top="1440" w:right="1401" w:bottom="1440" w:left="1685" w:header="851" w:footer="992" w:gutter="0"/>
          <w:cols w:space="720" w:num="1"/>
          <w:titlePg/>
          <w:docGrid w:type="lines" w:linePitch="312" w:charSpace="0"/>
        </w:sectPr>
      </w:pPr>
      <w:bookmarkStart w:id="41" w:name="_Toc74323460"/>
    </w:p>
    <w:p>
      <w:pPr>
        <w:pStyle w:val="3"/>
        <w:jc w:val="center"/>
        <w:rPr>
          <w:rFonts w:hint="eastAsia"/>
          <w:color w:val="auto"/>
          <w:highlight w:val="none"/>
        </w:rPr>
      </w:pPr>
    </w:p>
    <w:p>
      <w:pPr>
        <w:pStyle w:val="3"/>
        <w:jc w:val="center"/>
        <w:rPr>
          <w:rFonts w:hint="eastAsia"/>
          <w:color w:val="auto"/>
          <w:highlight w:val="none"/>
        </w:rPr>
      </w:pPr>
    </w:p>
    <w:p>
      <w:pPr>
        <w:pStyle w:val="3"/>
        <w:jc w:val="center"/>
        <w:rPr>
          <w:rFonts w:hint="eastAsia"/>
          <w:color w:val="auto"/>
          <w:highlight w:val="none"/>
        </w:rPr>
      </w:pPr>
    </w:p>
    <w:p>
      <w:pPr>
        <w:pStyle w:val="3"/>
        <w:jc w:val="center"/>
        <w:rPr>
          <w:rFonts w:hint="eastAsia"/>
          <w:color w:val="auto"/>
          <w:highlight w:val="none"/>
        </w:rPr>
      </w:pPr>
    </w:p>
    <w:bookmarkEnd w:id="41"/>
    <w:p>
      <w:pPr>
        <w:pStyle w:val="3"/>
        <w:jc w:val="center"/>
        <w:rPr>
          <w:rFonts w:hint="eastAsia"/>
          <w:color w:val="auto"/>
          <w:highlight w:val="none"/>
        </w:rPr>
      </w:pPr>
      <w:bookmarkStart w:id="42" w:name="_Toc30584_WPSOffice_Level1"/>
      <w:bookmarkStart w:id="43" w:name="_Toc10295"/>
      <w:bookmarkStart w:id="44" w:name="_Toc9388_WPSOffice_Level1"/>
      <w:r>
        <w:rPr>
          <w:rFonts w:hint="eastAsia"/>
          <w:color w:val="auto"/>
          <w:highlight w:val="none"/>
        </w:rPr>
        <w:t>第五章 响应文件格</w:t>
      </w:r>
      <w:bookmarkEnd w:id="42"/>
      <w:r>
        <w:rPr>
          <w:rFonts w:hint="eastAsia"/>
          <w:color w:val="auto"/>
          <w:highlight w:val="none"/>
        </w:rPr>
        <w:t>式</w:t>
      </w:r>
      <w:bookmarkEnd w:id="43"/>
      <w:bookmarkEnd w:id="44"/>
    </w:p>
    <w:p>
      <w:pPr>
        <w:spacing w:line="240" w:lineRule="atLeast"/>
        <w:rPr>
          <w:rFonts w:hint="eastAsia" w:ascii="宋体" w:hAnsi="宋体"/>
          <w:b/>
          <w:color w:val="auto"/>
          <w:sz w:val="32"/>
          <w:szCs w:val="32"/>
          <w:highlight w:val="none"/>
        </w:rPr>
      </w:pPr>
    </w:p>
    <w:p>
      <w:pPr>
        <w:spacing w:line="240" w:lineRule="atLeast"/>
        <w:rPr>
          <w:rFonts w:hint="eastAsia" w:ascii="宋体" w:hAnsi="宋体"/>
          <w:b/>
          <w:color w:val="auto"/>
          <w:sz w:val="32"/>
          <w:szCs w:val="32"/>
          <w:highlight w:val="none"/>
        </w:rPr>
      </w:pPr>
    </w:p>
    <w:p>
      <w:pPr>
        <w:spacing w:line="240" w:lineRule="atLeast"/>
        <w:rPr>
          <w:rFonts w:hint="eastAsia" w:ascii="宋体" w:hAnsi="宋体"/>
          <w:b/>
          <w:color w:val="auto"/>
          <w:sz w:val="32"/>
          <w:szCs w:val="32"/>
          <w:highlight w:val="none"/>
        </w:rPr>
      </w:pPr>
    </w:p>
    <w:p>
      <w:pPr>
        <w:rPr>
          <w:rFonts w:hint="eastAsia"/>
          <w:b/>
          <w:color w:val="auto"/>
          <w:sz w:val="32"/>
          <w:szCs w:val="32"/>
          <w:highlight w:val="none"/>
        </w:rPr>
      </w:pPr>
      <w:r>
        <w:rPr>
          <w:rFonts w:hint="eastAsia" w:ascii="宋体" w:hAnsi="宋体"/>
          <w:b/>
          <w:color w:val="auto"/>
          <w:sz w:val="32"/>
          <w:szCs w:val="32"/>
          <w:highlight w:val="none"/>
        </w:rPr>
        <w:br w:type="page"/>
      </w:r>
      <w:bookmarkStart w:id="45" w:name="_Toc44229898"/>
      <w:bookmarkStart w:id="46" w:name="_Toc71365924"/>
      <w:r>
        <w:rPr>
          <w:rFonts w:hint="eastAsia"/>
          <w:b/>
          <w:color w:val="auto"/>
          <w:sz w:val="32"/>
          <w:szCs w:val="32"/>
          <w:highlight w:val="none"/>
        </w:rPr>
        <w:t>（</w:t>
      </w:r>
      <w:bookmarkStart w:id="47" w:name="_Toc35611437"/>
      <w:bookmarkStart w:id="48" w:name="_Toc35611515"/>
      <w:r>
        <w:rPr>
          <w:rFonts w:hint="eastAsia"/>
          <w:b/>
          <w:color w:val="auto"/>
          <w:sz w:val="32"/>
          <w:szCs w:val="32"/>
          <w:highlight w:val="none"/>
        </w:rPr>
        <w:t>响应文件外层包装封面格式</w:t>
      </w:r>
      <w:bookmarkEnd w:id="47"/>
      <w:bookmarkEnd w:id="48"/>
      <w:r>
        <w:rPr>
          <w:rFonts w:hint="eastAsia"/>
          <w:b/>
          <w:color w:val="auto"/>
          <w:sz w:val="32"/>
          <w:szCs w:val="32"/>
          <w:highlight w:val="none"/>
        </w:rPr>
        <w:t xml:space="preserve"> ）</w:t>
      </w:r>
      <w:bookmarkEnd w:id="45"/>
      <w:bookmarkEnd w:id="46"/>
    </w:p>
    <w:p>
      <w:pPr>
        <w:snapToGrid w:val="0"/>
        <w:spacing w:before="156" w:beforeLines="50" w:after="50"/>
        <w:rPr>
          <w:rFonts w:hint="eastAsia" w:ascii="宋体" w:hAnsi="宋体"/>
          <w:color w:val="auto"/>
          <w:sz w:val="24"/>
          <w:szCs w:val="20"/>
          <w:highlight w:val="none"/>
        </w:rPr>
      </w:pPr>
    </w:p>
    <w:p>
      <w:pPr>
        <w:snapToGrid w:val="0"/>
        <w:spacing w:before="156" w:beforeLines="50" w:after="50"/>
        <w:jc w:val="center"/>
        <w:rPr>
          <w:rFonts w:hint="eastAsia" w:ascii="宋体" w:hAnsi="宋体"/>
          <w:bCs/>
          <w:color w:val="auto"/>
          <w:sz w:val="24"/>
          <w:szCs w:val="20"/>
          <w:highlight w:val="none"/>
        </w:rPr>
      </w:pPr>
    </w:p>
    <w:p>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响  应  文  件</w:t>
      </w: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仿宋_GB2312" w:hAnsi="仿宋_GB2312" w:eastAsia="仿宋_GB2312" w:cs="仿宋_GB2312"/>
          <w:bCs/>
          <w:color w:val="auto"/>
          <w:sz w:val="32"/>
          <w:szCs w:val="32"/>
          <w:highlight w:val="none"/>
        </w:rPr>
      </w:pPr>
    </w:p>
    <w:p>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pPr>
        <w:snapToGrid w:val="0"/>
        <w:spacing w:before="156" w:beforeLines="50" w:after="50"/>
        <w:ind w:firstLine="480" w:firstLineChars="150"/>
        <w:rPr>
          <w:rFonts w:hint="eastAsia" w:ascii="宋体" w:hAnsi="宋体" w:cs="仿宋_GB2312"/>
          <w:bCs/>
          <w:color w:val="auto"/>
          <w:sz w:val="32"/>
          <w:szCs w:val="32"/>
          <w:highlight w:val="none"/>
        </w:rPr>
      </w:pPr>
    </w:p>
    <w:p>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pPr>
        <w:snapToGrid w:val="0"/>
        <w:spacing w:before="156" w:beforeLines="50" w:after="50"/>
        <w:rPr>
          <w:rFonts w:hint="eastAsia" w:ascii="宋体" w:hAnsi="宋体" w:cs="仿宋_GB2312"/>
          <w:bCs/>
          <w:color w:val="auto"/>
          <w:sz w:val="32"/>
          <w:szCs w:val="32"/>
          <w:highlight w:val="none"/>
        </w:rPr>
      </w:pPr>
    </w:p>
    <w:p>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w:t>
      </w:r>
      <w:r>
        <w:rPr>
          <w:rFonts w:hint="eastAsia" w:ascii="宋体" w:hAnsi="宋体" w:cs="仿宋_GB2312"/>
          <w:bCs/>
          <w:color w:val="auto"/>
          <w:sz w:val="32"/>
          <w:szCs w:val="32"/>
          <w:highlight w:val="none"/>
          <w:lang w:eastAsia="zh-CN"/>
        </w:rPr>
        <w:t>（如有）</w:t>
      </w:r>
      <w:r>
        <w:rPr>
          <w:rFonts w:hint="eastAsia" w:ascii="宋体" w:hAnsi="宋体" w:cs="仿宋_GB2312"/>
          <w:bCs/>
          <w:color w:val="auto"/>
          <w:sz w:val="32"/>
          <w:szCs w:val="32"/>
          <w:highlight w:val="none"/>
        </w:rPr>
        <w:t>：</w:t>
      </w:r>
    </w:p>
    <w:p>
      <w:pPr>
        <w:snapToGrid w:val="0"/>
        <w:spacing w:before="156" w:beforeLines="50" w:after="50"/>
        <w:rPr>
          <w:rFonts w:hint="eastAsia" w:ascii="宋体" w:hAnsi="宋体" w:cs="仿宋_GB2312"/>
          <w:bCs/>
          <w:color w:val="auto"/>
          <w:sz w:val="32"/>
          <w:szCs w:val="32"/>
          <w:highlight w:val="none"/>
        </w:rPr>
      </w:pPr>
    </w:p>
    <w:p>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pPr>
        <w:snapToGrid w:val="0"/>
        <w:spacing w:before="156" w:beforeLines="50" w:after="50"/>
        <w:rPr>
          <w:rFonts w:hint="eastAsia" w:ascii="宋体" w:hAnsi="宋体" w:cs="仿宋_GB2312"/>
          <w:bCs/>
          <w:color w:val="auto"/>
          <w:sz w:val="32"/>
          <w:szCs w:val="32"/>
          <w:highlight w:val="none"/>
        </w:rPr>
      </w:pPr>
    </w:p>
    <w:p>
      <w:pPr>
        <w:snapToGrid w:val="0"/>
        <w:spacing w:before="156" w:beforeLines="50" w:after="50"/>
        <w:ind w:firstLine="480" w:firstLineChars="150"/>
        <w:jc w:val="center"/>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响应文件提交截止时间前不得启封</w:t>
      </w:r>
    </w:p>
    <w:p>
      <w:pPr>
        <w:snapToGrid w:val="0"/>
        <w:spacing w:before="156" w:beforeLines="50" w:after="50"/>
        <w:ind w:firstLine="5440" w:firstLineChars="1700"/>
        <w:jc w:val="center"/>
        <w:rPr>
          <w:rFonts w:hint="eastAsia" w:ascii="宋体" w:hAnsi="宋体" w:cs="仿宋_GB2312"/>
          <w:bCs/>
          <w:color w:val="auto"/>
          <w:sz w:val="32"/>
          <w:szCs w:val="32"/>
          <w:highlight w:val="none"/>
        </w:rPr>
      </w:pPr>
    </w:p>
    <w:p>
      <w:pPr>
        <w:snapToGrid w:val="0"/>
        <w:spacing w:before="156" w:beforeLines="50" w:after="50"/>
        <w:ind w:firstLine="645"/>
        <w:jc w:val="center"/>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年    月    日</w:t>
      </w:r>
    </w:p>
    <w:p>
      <w:pPr>
        <w:rPr>
          <w:rFonts w:hint="eastAsia"/>
          <w:b/>
          <w:color w:val="auto"/>
          <w:sz w:val="32"/>
          <w:szCs w:val="32"/>
          <w:highlight w:val="none"/>
        </w:rPr>
      </w:pPr>
      <w:r>
        <w:rPr>
          <w:rFonts w:ascii="宋体" w:hAnsi="宋体"/>
          <w:bCs/>
          <w:color w:val="auto"/>
          <w:sz w:val="24"/>
          <w:highlight w:val="none"/>
        </w:rPr>
        <w:br w:type="page"/>
      </w:r>
      <w:bookmarkStart w:id="49" w:name="_Toc35611438"/>
      <w:bookmarkStart w:id="50" w:name="_Toc31728084"/>
      <w:bookmarkStart w:id="51" w:name="_Toc35611516"/>
      <w:bookmarkStart w:id="52" w:name="_Toc44229899"/>
      <w:bookmarkStart w:id="53" w:name="_Toc31723070"/>
      <w:bookmarkStart w:id="54" w:name="_Toc71365925"/>
      <w:r>
        <w:rPr>
          <w:rFonts w:hint="eastAsia"/>
          <w:b/>
          <w:color w:val="auto"/>
          <w:sz w:val="32"/>
          <w:szCs w:val="32"/>
          <w:highlight w:val="none"/>
        </w:rPr>
        <w:t>一、资格证明文件格式</w:t>
      </w:r>
      <w:bookmarkEnd w:id="49"/>
      <w:bookmarkEnd w:id="50"/>
      <w:bookmarkEnd w:id="51"/>
      <w:bookmarkEnd w:id="52"/>
      <w:bookmarkEnd w:id="53"/>
      <w:bookmarkEnd w:id="54"/>
    </w:p>
    <w:p>
      <w:pPr>
        <w:snapToGrid w:val="0"/>
        <w:spacing w:before="156"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正本/副本</w:t>
      </w:r>
    </w:p>
    <w:p>
      <w:pPr>
        <w:snapToGrid w:val="0"/>
        <w:spacing w:before="156" w:beforeLines="50" w:after="50"/>
        <w:rPr>
          <w:rFonts w:hint="eastAsia" w:ascii="宋体" w:hAnsi="宋体"/>
          <w:color w:val="auto"/>
          <w:sz w:val="24"/>
          <w:szCs w:val="20"/>
          <w:highlight w:val="none"/>
        </w:rPr>
      </w:pPr>
    </w:p>
    <w:p>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响  应  文  件</w:t>
      </w:r>
    </w:p>
    <w:p>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p>
    <w:p>
      <w:pPr>
        <w:snapToGrid w:val="0"/>
        <w:spacing w:before="156" w:beforeLines="50" w:after="50"/>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资  格  证  明  文  件</w:t>
      </w: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pPr>
        <w:snapToGrid w:val="0"/>
        <w:spacing w:before="156" w:beforeLines="50" w:after="50"/>
        <w:ind w:firstLine="720" w:firstLineChars="225"/>
        <w:rPr>
          <w:rFonts w:hint="eastAsia" w:ascii="宋体" w:hAnsi="宋体" w:cs="仿宋_GB2312"/>
          <w:bCs/>
          <w:color w:val="auto"/>
          <w:sz w:val="32"/>
          <w:szCs w:val="32"/>
          <w:highlight w:val="none"/>
        </w:rPr>
      </w:pPr>
    </w:p>
    <w:p>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w:t>
      </w:r>
      <w:r>
        <w:rPr>
          <w:rFonts w:hint="eastAsia" w:ascii="宋体" w:hAnsi="宋体" w:cs="仿宋_GB2312"/>
          <w:bCs/>
          <w:color w:val="auto"/>
          <w:sz w:val="32"/>
          <w:szCs w:val="32"/>
          <w:highlight w:val="none"/>
          <w:lang w:eastAsia="zh-CN"/>
        </w:rPr>
        <w:t>（如有）</w:t>
      </w:r>
      <w:r>
        <w:rPr>
          <w:rFonts w:hint="eastAsia" w:ascii="宋体" w:hAnsi="宋体" w:cs="仿宋_GB2312"/>
          <w:bCs/>
          <w:color w:val="auto"/>
          <w:sz w:val="32"/>
          <w:szCs w:val="32"/>
          <w:highlight w:val="none"/>
        </w:rPr>
        <w:t>：</w:t>
      </w:r>
    </w:p>
    <w:p>
      <w:pPr>
        <w:snapToGrid w:val="0"/>
        <w:spacing w:before="156" w:beforeLines="50" w:after="50"/>
        <w:ind w:firstLine="720" w:firstLineChars="225"/>
        <w:rPr>
          <w:rFonts w:hint="eastAsia" w:ascii="宋体" w:hAnsi="宋体" w:cs="仿宋_GB2312"/>
          <w:bCs/>
          <w:color w:val="auto"/>
          <w:sz w:val="32"/>
          <w:szCs w:val="32"/>
          <w:highlight w:val="none"/>
        </w:rPr>
      </w:pPr>
    </w:p>
    <w:p>
      <w:pPr>
        <w:pStyle w:val="6"/>
        <w:snapToGrid w:val="0"/>
        <w:spacing w:before="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pPr>
        <w:pStyle w:val="6"/>
        <w:snapToGrid w:val="0"/>
        <w:spacing w:before="50" w:after="50"/>
        <w:ind w:firstLine="720" w:firstLineChars="225"/>
        <w:rPr>
          <w:rFonts w:hint="eastAsia" w:ascii="宋体" w:hAnsi="宋体" w:cs="仿宋_GB2312"/>
          <w:bCs/>
          <w:color w:val="auto"/>
          <w:sz w:val="32"/>
          <w:szCs w:val="32"/>
          <w:highlight w:val="none"/>
        </w:rPr>
      </w:pPr>
    </w:p>
    <w:p>
      <w:pPr>
        <w:pStyle w:val="6"/>
        <w:snapToGrid w:val="0"/>
        <w:spacing w:before="50" w:after="50"/>
        <w:ind w:firstLine="720" w:firstLineChars="225"/>
        <w:rPr>
          <w:rFonts w:hint="eastAsia" w:ascii="宋体" w:hAnsi="宋体" w:cs="仿宋_GB2312"/>
          <w:bCs/>
          <w:color w:val="auto"/>
          <w:sz w:val="32"/>
          <w:szCs w:val="32"/>
          <w:highlight w:val="none"/>
        </w:rPr>
      </w:pPr>
    </w:p>
    <w:p>
      <w:pPr>
        <w:pStyle w:val="6"/>
        <w:snapToGrid w:val="0"/>
        <w:spacing w:before="50" w:after="50"/>
        <w:ind w:firstLine="720" w:firstLineChars="225"/>
        <w:rPr>
          <w:rFonts w:hint="eastAsia" w:ascii="宋体" w:hAnsi="宋体" w:cs="仿宋_GB2312"/>
          <w:bCs/>
          <w:color w:val="auto"/>
          <w:sz w:val="32"/>
          <w:szCs w:val="32"/>
          <w:highlight w:val="none"/>
        </w:rPr>
      </w:pPr>
    </w:p>
    <w:p>
      <w:pPr>
        <w:pStyle w:val="6"/>
        <w:snapToGrid w:val="0"/>
        <w:spacing w:before="50" w:after="50"/>
        <w:ind w:firstLine="1280" w:firstLineChars="400"/>
        <w:rPr>
          <w:rFonts w:hint="eastAsia" w:ascii="宋体" w:hAnsi="宋体" w:cs="仿宋_GB2312"/>
          <w:bCs/>
          <w:color w:val="auto"/>
          <w:sz w:val="32"/>
          <w:szCs w:val="32"/>
          <w:highlight w:val="none"/>
        </w:rPr>
      </w:pPr>
    </w:p>
    <w:p>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pPr>
        <w:snapToGrid w:val="0"/>
        <w:spacing w:before="156" w:beforeLines="50" w:after="50" w:line="360" w:lineRule="auto"/>
        <w:ind w:left="142"/>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pPr>
        <w:snapToGrid w:val="0"/>
        <w:spacing w:before="156"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pPr>
        <w:snapToGrid w:val="0"/>
        <w:spacing w:before="156" w:beforeLines="50" w:after="50"/>
        <w:rPr>
          <w:rFonts w:ascii="宋体" w:hAnsi="宋体"/>
          <w:color w:val="auto"/>
          <w:sz w:val="24"/>
          <w:szCs w:val="20"/>
          <w:highlight w:val="none"/>
        </w:rPr>
      </w:pPr>
      <w:r>
        <w:rPr>
          <w:rFonts w:ascii="宋体" w:hAnsi="宋体"/>
          <w:color w:val="auto"/>
          <w:sz w:val="24"/>
          <w:szCs w:val="20"/>
          <w:highlight w:val="none"/>
        </w:rPr>
        <w:t xml:space="preserve"> </w:t>
      </w: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20" w:lineRule="exact"/>
        <w:jc w:val="left"/>
        <w:rPr>
          <w:rFonts w:hint="eastAsia"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 xml:space="preserve"> </w:t>
      </w:r>
    </w:p>
    <w:p>
      <w:pPr>
        <w:wordWrap w:val="0"/>
        <w:spacing w:before="156" w:beforeLines="50" w:after="50" w:line="320" w:lineRule="exact"/>
        <w:ind w:right="482" w:firstLine="210" w:firstLineChars="100"/>
        <w:contextualSpacing/>
        <w:jc w:val="center"/>
        <w:rPr>
          <w:rFonts w:hint="eastAsia" w:ascii="宋体" w:hAnsi="宋体"/>
          <w:color w:val="auto"/>
          <w:szCs w:val="21"/>
          <w:highlight w:val="none"/>
        </w:rPr>
      </w:pPr>
    </w:p>
    <w:p>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供应商直接控股、管理关系信息表</w:t>
      </w:r>
    </w:p>
    <w:p>
      <w:pPr>
        <w:snapToGrid w:val="0"/>
        <w:spacing w:before="156" w:beforeLines="50" w:after="50" w:line="360" w:lineRule="auto"/>
        <w:jc w:val="center"/>
        <w:rPr>
          <w:rFonts w:hint="eastAsia" w:ascii="宋体" w:hAnsi="宋体"/>
          <w:b/>
          <w:color w:val="auto"/>
          <w:sz w:val="24"/>
          <w:highlight w:val="none"/>
        </w:rPr>
      </w:pPr>
    </w:p>
    <w:p>
      <w:pPr>
        <w:spacing w:line="360" w:lineRule="auto"/>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w:t>
      </w:r>
    </w:p>
    <w:p>
      <w:pPr>
        <w:spacing w:line="360" w:lineRule="auto"/>
        <w:contextualSpacing/>
        <w:jc w:val="center"/>
        <w:rPr>
          <w:rFonts w:hint="eastAsia" w:ascii="宋体" w:hAnsi="宋体"/>
          <w:b/>
          <w:color w:val="auto"/>
          <w:sz w:val="24"/>
          <w:highlight w:val="none"/>
        </w:rPr>
      </w:pPr>
    </w:p>
    <w:tbl>
      <w:tblPr>
        <w:tblStyle w:val="26"/>
        <w:tblW w:w="10147" w:type="dxa"/>
        <w:jc w:val="center"/>
        <w:tblInd w:w="0" w:type="dxa"/>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Layout w:type="fixed"/>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Layout w:type="fixed"/>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r>
      <w:tr>
        <w:tblPrEx>
          <w:tblLayout w:type="fixed"/>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r>
      <w:tr>
        <w:tblPrEx>
          <w:tblLayout w:type="fixed"/>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r>
      <w:tr>
        <w:tblPrEx>
          <w:tblLayout w:type="fixed"/>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r>
    </w:tbl>
    <w:p>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3.供应商不存在直接控股股东的，则填“无”。</w:t>
      </w:r>
    </w:p>
    <w:p>
      <w:pPr>
        <w:snapToGrid w:val="0"/>
        <w:spacing w:line="360" w:lineRule="auto"/>
        <w:jc w:val="left"/>
        <w:rPr>
          <w:rFonts w:hint="eastAsia" w:ascii="宋体" w:hAnsi="宋体" w:cs="宋体"/>
          <w:color w:val="auto"/>
          <w:sz w:val="24"/>
          <w:highlight w:val="none"/>
        </w:rPr>
      </w:pPr>
    </w:p>
    <w:p>
      <w:pPr>
        <w:snapToGrid w:val="0"/>
        <w:spacing w:before="156" w:beforeLines="50" w:after="50" w:line="360" w:lineRule="auto"/>
        <w:ind w:right="480" w:firstLine="1920" w:firstLineChars="800"/>
        <w:rPr>
          <w:rFonts w:hint="eastAsia" w:ascii="宋体" w:hAnsi="宋体" w:cs="宋体"/>
          <w:color w:val="auto"/>
          <w:sz w:val="24"/>
          <w:highlight w:val="none"/>
          <w:u w:val="none"/>
        </w:rPr>
      </w:pPr>
      <w:r>
        <w:rPr>
          <w:rFonts w:hint="eastAsia" w:ascii="宋体" w:hAnsi="宋体" w:cs="宋体"/>
          <w:color w:val="auto"/>
          <w:sz w:val="24"/>
          <w:highlight w:val="none"/>
          <w:u w:val="none"/>
        </w:rPr>
        <w:t>供应商（盖章 ）：</w:t>
      </w:r>
    </w:p>
    <w:p>
      <w:pPr>
        <w:snapToGrid w:val="0"/>
        <w:spacing w:before="156" w:beforeLines="50" w:line="360" w:lineRule="auto"/>
        <w:ind w:right="480" w:firstLine="0" w:firstLineChars="0"/>
        <w:rPr>
          <w:rFonts w:hint="eastAsia" w:ascii="宋体" w:hAnsi="宋体" w:cs="宋体"/>
          <w:color w:val="auto"/>
          <w:sz w:val="24"/>
          <w:highlight w:val="none"/>
          <w:u w:val="none"/>
        </w:rPr>
      </w:pPr>
      <w:r>
        <w:rPr>
          <w:rFonts w:hint="eastAsia" w:ascii="宋体" w:hAnsi="宋体" w:cs="宋体"/>
          <w:color w:val="auto"/>
          <w:sz w:val="24"/>
          <w:highlight w:val="none"/>
          <w:u w:val="none"/>
        </w:rPr>
        <w:t xml:space="preserve"> 法定代表人/负责人（或委托代理人</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rPr>
        <w:t xml:space="preserve">：       </w:t>
      </w:r>
    </w:p>
    <w:p>
      <w:pPr>
        <w:snapToGrid w:val="0"/>
        <w:spacing w:before="156" w:beforeLines="50" w:after="50" w:line="360" w:lineRule="auto"/>
        <w:ind w:right="480" w:firstLine="0" w:firstLineChars="0"/>
        <w:rPr>
          <w:rFonts w:hint="eastAsia" w:ascii="宋体" w:hAnsi="宋体" w:cs="宋体"/>
          <w:color w:val="auto"/>
          <w:sz w:val="28"/>
          <w:szCs w:val="28"/>
          <w:highlight w:val="none"/>
          <w:u w:val="none"/>
        </w:rPr>
      </w:pPr>
      <w:r>
        <w:rPr>
          <w:rFonts w:hint="eastAsia" w:ascii="宋体" w:hAnsi="宋体" w:cs="宋体"/>
          <w:color w:val="auto"/>
          <w:sz w:val="24"/>
          <w:highlight w:val="none"/>
          <w:u w:val="none"/>
        </w:rPr>
        <w:t xml:space="preserve">  </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年    月    日</w:t>
      </w:r>
    </w:p>
    <w:p>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供应商直接管理关系信息表</w:t>
      </w:r>
    </w:p>
    <w:p>
      <w:pPr>
        <w:snapToGrid w:val="0"/>
        <w:spacing w:line="360" w:lineRule="auto"/>
        <w:jc w:val="center"/>
        <w:rPr>
          <w:rFonts w:hint="eastAsia" w:ascii="宋体" w:hAnsi="宋体"/>
          <w:b/>
          <w:color w:val="auto"/>
          <w:sz w:val="24"/>
          <w:highlight w:val="none"/>
        </w:rPr>
      </w:pPr>
    </w:p>
    <w:tbl>
      <w:tblPr>
        <w:tblStyle w:val="26"/>
        <w:tblW w:w="9652" w:type="dxa"/>
        <w:jc w:val="center"/>
        <w:tblInd w:w="0" w:type="dxa"/>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Layout w:type="fixed"/>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r>
        <w:tblPrEx>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r>
        <w:tblPrEx>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r>
        <w:tblPrEx>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bl>
    <w:p>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注：</w:t>
      </w:r>
    </w:p>
    <w:p>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3.供应商不存在直接管理关系的，则填“无”。</w:t>
      </w:r>
    </w:p>
    <w:p>
      <w:pPr>
        <w:spacing w:line="360" w:lineRule="auto"/>
        <w:contextualSpacing/>
        <w:jc w:val="left"/>
        <w:rPr>
          <w:rFonts w:hint="eastAsia" w:ascii="宋体" w:hAnsi="宋体"/>
          <w:color w:val="auto"/>
          <w:sz w:val="24"/>
          <w:highlight w:val="none"/>
        </w:rPr>
      </w:pPr>
    </w:p>
    <w:p>
      <w:pPr>
        <w:spacing w:line="360" w:lineRule="auto"/>
        <w:contextualSpacing/>
        <w:jc w:val="left"/>
        <w:rPr>
          <w:rFonts w:hint="eastAsia" w:ascii="宋体" w:hAnsi="宋体"/>
          <w:color w:val="auto"/>
          <w:sz w:val="24"/>
          <w:highlight w:val="none"/>
        </w:rPr>
      </w:pPr>
    </w:p>
    <w:p>
      <w:pPr>
        <w:spacing w:line="360" w:lineRule="auto"/>
        <w:contextualSpacing/>
        <w:jc w:val="left"/>
        <w:rPr>
          <w:rFonts w:hint="eastAsia"/>
          <w:color w:val="auto"/>
          <w:sz w:val="24"/>
          <w:highlight w:val="none"/>
        </w:rPr>
      </w:pPr>
    </w:p>
    <w:p>
      <w:pPr>
        <w:spacing w:line="360" w:lineRule="auto"/>
        <w:contextualSpacing/>
        <w:jc w:val="left"/>
        <w:rPr>
          <w:rFonts w:hint="eastAsia"/>
          <w:color w:val="auto"/>
          <w:sz w:val="24"/>
          <w:highlight w:val="none"/>
        </w:rPr>
      </w:pPr>
    </w:p>
    <w:p>
      <w:pPr>
        <w:spacing w:line="360" w:lineRule="auto"/>
        <w:contextualSpacing/>
        <w:jc w:val="left"/>
        <w:rPr>
          <w:rFonts w:hint="eastAsia"/>
          <w:color w:val="auto"/>
          <w:sz w:val="24"/>
          <w:highlight w:val="none"/>
        </w:rPr>
      </w:pPr>
    </w:p>
    <w:p>
      <w:pPr>
        <w:spacing w:line="360" w:lineRule="auto"/>
        <w:contextualSpacing/>
        <w:jc w:val="left"/>
        <w:rPr>
          <w:rFonts w:hint="eastAsia" w:ascii="宋体" w:hAnsi="宋体"/>
          <w:color w:val="auto"/>
          <w:sz w:val="24"/>
          <w:highlight w:val="none"/>
        </w:rPr>
      </w:pPr>
    </w:p>
    <w:p>
      <w:pPr>
        <w:spacing w:line="360" w:lineRule="auto"/>
        <w:ind w:right="480" w:firstLine="2160" w:firstLineChars="900"/>
        <w:contextualSpacing/>
        <w:rPr>
          <w:rFonts w:hint="eastAsia" w:ascii="宋体" w:hAnsi="宋体"/>
          <w:color w:val="auto"/>
          <w:sz w:val="24"/>
          <w:highlight w:val="none"/>
        </w:rPr>
      </w:pPr>
      <w:r>
        <w:rPr>
          <w:rFonts w:hint="eastAsia" w:ascii="宋体" w:hAnsi="宋体"/>
          <w:color w:val="auto"/>
          <w:sz w:val="24"/>
          <w:highlight w:val="none"/>
        </w:rPr>
        <w:t>供应商（盖章）：</w:t>
      </w:r>
    </w:p>
    <w:p>
      <w:pPr>
        <w:spacing w:line="360" w:lineRule="auto"/>
        <w:ind w:right="480" w:firstLine="240" w:firstLineChars="100"/>
        <w:contextualSpacing/>
        <w:jc w:val="center"/>
        <w:rPr>
          <w:rFonts w:ascii="宋体" w:hAnsi="宋体"/>
          <w:color w:val="auto"/>
          <w:sz w:val="28"/>
          <w:szCs w:val="28"/>
          <w:highlight w:val="none"/>
        </w:rPr>
      </w:pPr>
      <w:r>
        <w:rPr>
          <w:rFonts w:hint="eastAsia" w:ascii="宋体" w:hAnsi="宋体" w:cs="宋体"/>
          <w:color w:val="auto"/>
          <w:sz w:val="24"/>
          <w:highlight w:val="none"/>
        </w:rPr>
        <w:t>法定代表人/负责人（或委托代理人</w:t>
      </w:r>
      <w:r>
        <w:rPr>
          <w:rFonts w:hint="eastAsia" w:ascii="宋体" w:hAnsi="宋体" w:cs="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none"/>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    月    日</w:t>
      </w:r>
    </w:p>
    <w:p>
      <w:pPr>
        <w:spacing w:line="240" w:lineRule="auto"/>
        <w:jc w:val="center"/>
        <w:rPr>
          <w:rFonts w:hint="eastAsia" w:ascii="方正小标宋简体" w:hAnsi="方正小标宋简体" w:eastAsia="方正小标宋简体" w:cs="方正小标宋简体"/>
          <w:b w:val="0"/>
          <w:bCs/>
          <w:color w:val="auto"/>
          <w:sz w:val="44"/>
          <w:szCs w:val="44"/>
          <w:highlight w:val="none"/>
        </w:rPr>
      </w:pPr>
      <w:r>
        <w:rPr>
          <w:rFonts w:ascii="宋体" w:hAnsi="宋体"/>
          <w:color w:val="auto"/>
          <w:sz w:val="28"/>
          <w:szCs w:val="28"/>
          <w:highlight w:val="none"/>
        </w:rPr>
        <w:br w:type="page"/>
      </w:r>
      <w:r>
        <w:rPr>
          <w:rFonts w:hint="eastAsia" w:ascii="方正小标宋简体" w:hAnsi="方正小标宋简体" w:eastAsia="方正小标宋简体" w:cs="方正小标宋简体"/>
          <w:b w:val="0"/>
          <w:bCs/>
          <w:color w:val="auto"/>
          <w:sz w:val="44"/>
          <w:szCs w:val="44"/>
          <w:highlight w:val="none"/>
        </w:rPr>
        <w:t>竞标声明</w:t>
      </w:r>
    </w:p>
    <w:p>
      <w:pPr>
        <w:spacing w:line="320" w:lineRule="exact"/>
        <w:jc w:val="center"/>
        <w:rPr>
          <w:rFonts w:hint="eastAsia" w:ascii="宋体" w:hAnsi="宋体"/>
          <w:color w:val="auto"/>
          <w:sz w:val="24"/>
          <w:szCs w:val="20"/>
          <w:highlight w:val="none"/>
        </w:rPr>
      </w:pPr>
    </w:p>
    <w:p>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u w:val="single"/>
          <w:lang w:val="en-US" w:eastAsia="zh-CN"/>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（4）响应磋商文件规定的竞标有效期。</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4.我方承诺符合下列资格条件：</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采购活动前三年内，在经营活动中没有重大违法记录（重大违法记录是指供应商因违法经营受到刑事处罚或者责令停产停业、吊销许可证或者执照、较大数额罚款等行政处罚），未</w:t>
      </w:r>
      <w:r>
        <w:rPr>
          <w:rFonts w:hint="eastAsia" w:ascii="宋体" w:hAnsi="宋体" w:cs="宋体"/>
          <w:color w:val="auto"/>
          <w:sz w:val="24"/>
          <w:highlight w:val="none"/>
          <w:lang w:eastAsia="zh-CN"/>
        </w:rPr>
        <w:t>被列入</w:t>
      </w:r>
      <w:r>
        <w:rPr>
          <w:rFonts w:hint="eastAsia" w:ascii="宋体" w:hAnsi="宋体" w:cs="宋体"/>
          <w:color w:val="auto"/>
          <w:sz w:val="24"/>
          <w:szCs w:val="24"/>
          <w:highlight w:val="none"/>
          <w:lang w:eastAsia="zh-CN"/>
        </w:rPr>
        <w:t>严重</w:t>
      </w:r>
      <w:r>
        <w:rPr>
          <w:rFonts w:hint="eastAsia" w:ascii="宋体" w:hAnsi="宋体" w:cs="宋体"/>
          <w:color w:val="auto"/>
          <w:sz w:val="24"/>
          <w:szCs w:val="24"/>
          <w:highlight w:val="none"/>
        </w:rPr>
        <w:t>失信</w:t>
      </w:r>
      <w:r>
        <w:rPr>
          <w:rFonts w:hint="eastAsia" w:ascii="宋体" w:hAnsi="宋体" w:cs="宋体"/>
          <w:color w:val="auto"/>
          <w:sz w:val="24"/>
          <w:szCs w:val="24"/>
          <w:highlight w:val="none"/>
          <w:lang w:eastAsia="zh-CN"/>
        </w:rPr>
        <w:t>主体</w:t>
      </w:r>
      <w:r>
        <w:rPr>
          <w:rFonts w:hint="eastAsia" w:ascii="宋体" w:hAnsi="宋体" w:cs="宋体"/>
          <w:color w:val="auto"/>
          <w:sz w:val="24"/>
          <w:szCs w:val="24"/>
          <w:highlight w:val="none"/>
        </w:rPr>
        <w:t>名单、</w:t>
      </w:r>
      <w:r>
        <w:rPr>
          <w:rFonts w:hint="eastAsia" w:ascii="宋体" w:hAnsi="宋体" w:cs="宋体"/>
          <w:color w:val="auto"/>
          <w:sz w:val="24"/>
          <w:szCs w:val="24"/>
          <w:highlight w:val="none"/>
          <w:lang w:eastAsia="zh-CN"/>
        </w:rPr>
        <w:t>经营异常名录、失信</w:t>
      </w:r>
      <w:r>
        <w:rPr>
          <w:rFonts w:hint="eastAsia" w:ascii="宋体" w:hAnsi="宋体" w:cs="宋体"/>
          <w:color w:val="auto"/>
          <w:sz w:val="24"/>
          <w:szCs w:val="24"/>
          <w:highlight w:val="none"/>
        </w:rPr>
        <w:t>被执行人</w:t>
      </w:r>
      <w:r>
        <w:rPr>
          <w:rFonts w:hint="eastAsia" w:ascii="宋体" w:hAnsi="宋体" w:cs="宋体"/>
          <w:color w:val="auto"/>
          <w:sz w:val="24"/>
          <w:szCs w:val="24"/>
          <w:highlight w:val="none"/>
          <w:lang w:eastAsia="zh-CN"/>
        </w:rPr>
        <w:t>、政府采购严重违法失信行为记录名单、拖欠农民工工资失信联合惩戒对象名单、</w:t>
      </w:r>
      <w:r>
        <w:rPr>
          <w:rFonts w:hint="eastAsia" w:ascii="宋体" w:hAnsi="宋体" w:cs="宋体"/>
          <w:color w:val="auto"/>
          <w:sz w:val="24"/>
          <w:szCs w:val="24"/>
          <w:highlight w:val="none"/>
        </w:rPr>
        <w:t>重大税收违法</w:t>
      </w:r>
      <w:r>
        <w:rPr>
          <w:rFonts w:hint="eastAsia" w:ascii="宋体" w:hAnsi="宋体" w:cs="宋体"/>
          <w:color w:val="auto"/>
          <w:sz w:val="24"/>
          <w:szCs w:val="24"/>
          <w:highlight w:val="none"/>
          <w:lang w:eastAsia="zh-CN"/>
        </w:rPr>
        <w:t>失信主体名单、安全生产领域严重失信惩戒名单、统计严重失信企业名单、严重违法超限超载运输失信当事人名单</w:t>
      </w:r>
      <w:r>
        <w:rPr>
          <w:rFonts w:hint="eastAsia" w:ascii="宋体" w:hAnsi="宋体" w:cs="宋体"/>
          <w:color w:val="auto"/>
          <w:sz w:val="24"/>
          <w:highlight w:val="none"/>
        </w:rPr>
        <w:t>，</w:t>
      </w:r>
      <w:r>
        <w:rPr>
          <w:rFonts w:hint="eastAsia" w:ascii="宋体" w:hAnsi="宋体" w:cs="宋体"/>
          <w:b w:val="0"/>
          <w:bCs w:val="0"/>
          <w:color w:val="auto"/>
          <w:sz w:val="24"/>
          <w:szCs w:val="24"/>
          <w:highlight w:val="none"/>
          <w:lang w:eastAsia="zh-CN"/>
        </w:rPr>
        <w:t>或</w:t>
      </w:r>
      <w:r>
        <w:rPr>
          <w:rFonts w:hint="eastAsia" w:ascii="宋体" w:hAnsi="宋体" w:cs="宋体"/>
          <w:b w:val="0"/>
          <w:bCs w:val="0"/>
          <w:color w:val="auto"/>
          <w:sz w:val="24"/>
          <w:szCs w:val="24"/>
          <w:highlight w:val="none"/>
        </w:rPr>
        <w:t>被监管部门处罚导致暂停或终止业务</w:t>
      </w:r>
      <w:r>
        <w:rPr>
          <w:rFonts w:hint="eastAsia" w:ascii="宋体" w:hAnsi="宋体" w:cs="宋体"/>
          <w:color w:val="auto"/>
          <w:sz w:val="24"/>
          <w:highlight w:val="none"/>
        </w:rPr>
        <w:t>，完全符合磋商文件规定的供应商资格条件，我方对此声明负全部法律责任。</w:t>
      </w:r>
    </w:p>
    <w:p>
      <w:pPr>
        <w:pStyle w:val="16"/>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6.与本磋商有关的一切正式往来信函请寄：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pPr>
        <w:pStyle w:val="16"/>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pPr>
        <w:pStyle w:val="14"/>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pPr>
        <w:pStyle w:val="14"/>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7.以上事项如有虚假或者隐瞒，我方愿意承担一切后果，并不再寻求任何旨在减轻或者免除法律责任的辩解。</w:t>
      </w:r>
    </w:p>
    <w:p>
      <w:pPr>
        <w:pStyle w:val="14"/>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pPr>
        <w:pStyle w:val="14"/>
        <w:tabs>
          <w:tab w:val="left" w:pos="939"/>
        </w:tabs>
        <w:spacing w:line="360" w:lineRule="auto"/>
        <w:ind w:left="0" w:leftChars="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注：如为联合体竞标，盖章处须加盖联合体各方公章并由联合体各方法定代表人签署，否则其响应文件按无效响应处理。</w:t>
      </w:r>
    </w:p>
    <w:p>
      <w:pPr>
        <w:pStyle w:val="14"/>
        <w:tabs>
          <w:tab w:val="left" w:pos="939"/>
        </w:tabs>
        <w:spacing w:line="360" w:lineRule="auto"/>
        <w:ind w:left="0" w:leftChars="0" w:firstLine="480" w:firstLineChars="200"/>
        <w:rPr>
          <w:rFonts w:hint="eastAsia" w:ascii="宋体" w:hAnsi="宋体" w:cs="宋体"/>
          <w:color w:val="auto"/>
          <w:sz w:val="24"/>
          <w:highlight w:val="none"/>
        </w:rPr>
      </w:pPr>
    </w:p>
    <w:p>
      <w:pPr>
        <w:snapToGrid w:val="0"/>
        <w:spacing w:line="360" w:lineRule="auto"/>
        <w:ind w:firstLine="2880" w:firstLineChars="1200"/>
        <w:contextualSpacing/>
        <w:jc w:val="left"/>
        <w:rPr>
          <w:rFonts w:hint="eastAsia" w:hAnsi="宋体"/>
          <w:color w:val="auto"/>
          <w:sz w:val="24"/>
          <w:highlight w:val="none"/>
        </w:rPr>
      </w:pPr>
      <w:r>
        <w:rPr>
          <w:rFonts w:hint="eastAsia" w:hAnsi="宋体"/>
          <w:color w:val="auto"/>
          <w:sz w:val="24"/>
          <w:highlight w:val="none"/>
          <w:lang w:val="en-US" w:eastAsia="zh-CN"/>
        </w:rPr>
        <w:t>供应商</w:t>
      </w:r>
      <w:r>
        <w:rPr>
          <w:rFonts w:hint="eastAsia" w:hAnsi="宋体"/>
          <w:color w:val="auto"/>
          <w:sz w:val="24"/>
          <w:highlight w:val="none"/>
        </w:rPr>
        <w:t>（盖章</w:t>
      </w:r>
      <w:r>
        <w:rPr>
          <w:rFonts w:hint="eastAsia" w:hAnsi="宋体"/>
          <w:color w:val="auto"/>
          <w:sz w:val="24"/>
          <w:highlight w:val="none"/>
          <w:lang w:val="en-US" w:eastAsia="zh-CN"/>
        </w:rPr>
        <w:t>/签名</w:t>
      </w:r>
      <w:r>
        <w:rPr>
          <w:rFonts w:hint="eastAsia" w:hAnsi="宋体"/>
          <w:color w:val="auto"/>
          <w:sz w:val="24"/>
          <w:highlight w:val="none"/>
        </w:rPr>
        <w:t>）：</w:t>
      </w:r>
    </w:p>
    <w:p>
      <w:pPr>
        <w:pStyle w:val="16"/>
        <w:spacing w:line="360" w:lineRule="auto"/>
        <w:contextualSpacing/>
        <w:jc w:val="center"/>
        <w:rPr>
          <w:rFonts w:hint="eastAsia" w:hAnsi="宋体" w:eastAsia="宋体"/>
          <w:color w:val="auto"/>
          <w:sz w:val="24"/>
          <w:highlight w:val="none"/>
          <w:lang w:eastAsia="zh-CN"/>
        </w:rPr>
      </w:pPr>
      <w:r>
        <w:rPr>
          <w:rFonts w:hint="eastAsia" w:hAnsi="宋体" w:cs="Times New Roman"/>
          <w:bCs w:val="0"/>
          <w:color w:val="auto"/>
          <w:sz w:val="24"/>
          <w:highlight w:val="none"/>
          <w:lang w:val="en-US" w:eastAsia="zh-CN"/>
        </w:rPr>
        <w:t xml:space="preserve">          </w:t>
      </w:r>
      <w:r>
        <w:rPr>
          <w:rFonts w:hint="eastAsia" w:ascii="宋体" w:hAnsi="宋体" w:eastAsia="宋体" w:cs="Times New Roman"/>
          <w:bCs w:val="0"/>
          <w:color w:val="auto"/>
          <w:sz w:val="24"/>
          <w:highlight w:val="none"/>
        </w:rPr>
        <w:t>法定代表人/负责人（或</w:t>
      </w:r>
      <w:r>
        <w:rPr>
          <w:rFonts w:hint="eastAsia" w:hAnsi="宋体" w:eastAsia="宋体" w:cs="Times New Roman"/>
          <w:bCs w:val="0"/>
          <w:color w:val="auto"/>
          <w:sz w:val="24"/>
          <w:highlight w:val="none"/>
          <w:lang w:val="en-US" w:eastAsia="zh-CN"/>
        </w:rPr>
        <w:t>委托</w:t>
      </w:r>
      <w:r>
        <w:rPr>
          <w:rFonts w:hint="eastAsia" w:ascii="宋体" w:hAnsi="宋体" w:eastAsia="宋体" w:cs="Times New Roman"/>
          <w:bCs w:val="0"/>
          <w:color w:val="auto"/>
          <w:sz w:val="24"/>
          <w:highlight w:val="none"/>
        </w:rPr>
        <w:t>代理人）</w:t>
      </w:r>
      <w:r>
        <w:rPr>
          <w:rFonts w:hint="eastAsia" w:ascii="宋体" w:hAnsi="宋体" w:eastAsia="宋体" w:cs="Times New Roman"/>
          <w:bCs w:val="0"/>
          <w:color w:val="auto"/>
          <w:sz w:val="24"/>
          <w:highlight w:val="none"/>
          <w:lang w:eastAsia="zh-CN"/>
        </w:rPr>
        <w:t>：</w:t>
      </w:r>
    </w:p>
    <w:p>
      <w:pPr>
        <w:spacing w:line="360" w:lineRule="auto"/>
        <w:ind w:firstLine="4320" w:firstLineChars="1800"/>
        <w:contextualSpacing/>
        <w:rPr>
          <w:rFonts w:hint="eastAsia" w:ascii="宋体" w:hAnsi="宋体" w:cs="宋体"/>
          <w:color w:val="auto"/>
          <w:sz w:val="24"/>
          <w:highlight w:val="none"/>
          <w:u w:val="single"/>
        </w:rPr>
      </w:pPr>
      <w:r>
        <w:rPr>
          <w:rFonts w:hint="eastAsia"/>
          <w:color w:val="auto"/>
          <w:sz w:val="24"/>
          <w:highlight w:val="none"/>
        </w:rPr>
        <w:t xml:space="preserve"> </w:t>
      </w:r>
      <w:r>
        <w:rPr>
          <w:rFonts w:hint="eastAsia" w:ascii="宋体" w:hAnsi="宋体" w:cs="宋体"/>
          <w:color w:val="auto"/>
          <w:sz w:val="24"/>
          <w:highlight w:val="none"/>
        </w:rPr>
        <w:t xml:space="preserve">    </w:t>
      </w:r>
    </w:p>
    <w:p>
      <w:pPr>
        <w:spacing w:line="360" w:lineRule="auto"/>
        <w:ind w:right="480" w:firstLine="240" w:firstLineChars="100"/>
        <w:contextualSpacing/>
        <w:jc w:val="center"/>
        <w:rPr>
          <w:rFonts w:hint="eastAsia"/>
          <w:color w:val="auto"/>
          <w:sz w:val="24"/>
          <w:highlight w:val="none"/>
        </w:rPr>
      </w:pPr>
      <w:r>
        <w:rPr>
          <w:rFonts w:hint="eastAsia" w:ascii="宋体" w:hAnsi="宋体" w:cs="宋体"/>
          <w:color w:val="auto"/>
          <w:sz w:val="24"/>
          <w:highlight w:val="none"/>
        </w:rPr>
        <w:t xml:space="preserve">                                                  </w:t>
      </w:r>
      <w:r>
        <w:rPr>
          <w:rFonts w:hint="eastAsia"/>
          <w:color w:val="auto"/>
          <w:sz w:val="24"/>
          <w:highlight w:val="none"/>
        </w:rPr>
        <w:t xml:space="preserve"> 年    月    日</w:t>
      </w:r>
    </w:p>
    <w:p>
      <w:pPr>
        <w:snapToGrid w:val="0"/>
        <w:spacing w:before="156" w:beforeLines="50" w:after="50" w:line="360" w:lineRule="auto"/>
        <w:ind w:right="480"/>
        <w:rPr>
          <w:rFonts w:hint="eastAsia" w:ascii="宋体" w:hAnsi="宋体"/>
          <w:b/>
          <w:color w:val="auto"/>
          <w:sz w:val="32"/>
          <w:szCs w:val="32"/>
          <w:highlight w:val="none"/>
        </w:rPr>
      </w:pPr>
      <w:r>
        <w:rPr>
          <w:rFonts w:hint="eastAsia"/>
          <w:color w:val="auto"/>
          <w:sz w:val="24"/>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报价商务技术文件格式</w:t>
      </w:r>
    </w:p>
    <w:p>
      <w:pPr>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1.报价商务技术文件封面格式</w:t>
      </w:r>
    </w:p>
    <w:p>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正本/副本</w:t>
      </w:r>
    </w:p>
    <w:p>
      <w:pPr>
        <w:snapToGrid w:val="0"/>
        <w:spacing w:before="156" w:beforeLines="50" w:after="50"/>
        <w:rPr>
          <w:rFonts w:hint="eastAsia" w:ascii="宋体" w:hAnsi="宋体"/>
          <w:color w:val="auto"/>
          <w:sz w:val="24"/>
          <w:szCs w:val="20"/>
          <w:highlight w:val="none"/>
        </w:rPr>
      </w:pPr>
    </w:p>
    <w:p>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响  应  文  件</w:t>
      </w:r>
    </w:p>
    <w:p>
      <w:pPr>
        <w:snapToGrid w:val="0"/>
        <w:spacing w:before="156" w:beforeLines="50" w:after="50"/>
        <w:rPr>
          <w:rFonts w:hint="eastAsia" w:ascii="宋体" w:hAnsi="宋体"/>
          <w:color w:val="auto"/>
          <w:sz w:val="24"/>
          <w:szCs w:val="20"/>
          <w:highlight w:val="none"/>
        </w:rPr>
      </w:pPr>
    </w:p>
    <w:p>
      <w:pPr>
        <w:snapToGrid w:val="0"/>
        <w:spacing w:before="156" w:beforeLines="50" w:after="50"/>
        <w:rPr>
          <w:rFonts w:hint="eastAsia" w:ascii="宋体" w:hAnsi="宋体"/>
          <w:color w:val="auto"/>
          <w:sz w:val="24"/>
          <w:szCs w:val="20"/>
          <w:highlight w:val="none"/>
        </w:rPr>
      </w:pPr>
    </w:p>
    <w:p>
      <w:pPr>
        <w:snapToGrid w:val="0"/>
        <w:spacing w:before="156" w:beforeLines="50" w:after="50"/>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报  价  商  务  技  术  文  件</w:t>
      </w: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pPr>
        <w:snapToGrid w:val="0"/>
        <w:spacing w:before="156" w:beforeLines="50" w:after="50"/>
        <w:ind w:firstLine="720" w:firstLineChars="225"/>
        <w:rPr>
          <w:rFonts w:hint="eastAsia" w:ascii="宋体" w:hAnsi="宋体" w:cs="仿宋_GB2312"/>
          <w:bCs/>
          <w:color w:val="auto"/>
          <w:sz w:val="32"/>
          <w:szCs w:val="32"/>
          <w:highlight w:val="none"/>
        </w:rPr>
      </w:pPr>
    </w:p>
    <w:p>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w:t>
      </w:r>
      <w:r>
        <w:rPr>
          <w:rFonts w:hint="eastAsia" w:ascii="宋体" w:hAnsi="宋体" w:cs="仿宋_GB2312"/>
          <w:bCs/>
          <w:color w:val="auto"/>
          <w:sz w:val="32"/>
          <w:szCs w:val="32"/>
          <w:highlight w:val="none"/>
          <w:lang w:eastAsia="zh-CN"/>
        </w:rPr>
        <w:t>（如有）</w:t>
      </w:r>
      <w:r>
        <w:rPr>
          <w:rFonts w:hint="eastAsia" w:ascii="宋体" w:hAnsi="宋体" w:cs="仿宋_GB2312"/>
          <w:bCs/>
          <w:color w:val="auto"/>
          <w:sz w:val="32"/>
          <w:szCs w:val="32"/>
          <w:highlight w:val="none"/>
        </w:rPr>
        <w:t>：</w:t>
      </w:r>
    </w:p>
    <w:p>
      <w:pPr>
        <w:snapToGrid w:val="0"/>
        <w:spacing w:before="156" w:beforeLines="50" w:after="50"/>
        <w:ind w:firstLine="720" w:firstLineChars="225"/>
        <w:rPr>
          <w:rFonts w:hint="eastAsia" w:ascii="宋体" w:hAnsi="宋体" w:cs="仿宋_GB2312"/>
          <w:bCs/>
          <w:color w:val="auto"/>
          <w:sz w:val="32"/>
          <w:szCs w:val="32"/>
          <w:highlight w:val="none"/>
        </w:rPr>
      </w:pPr>
    </w:p>
    <w:p>
      <w:pPr>
        <w:pStyle w:val="6"/>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pPr>
        <w:pStyle w:val="6"/>
        <w:snapToGrid w:val="0"/>
        <w:spacing w:before="50" w:after="50"/>
        <w:ind w:firstLine="720" w:firstLineChars="225"/>
        <w:rPr>
          <w:rFonts w:hint="eastAsia" w:ascii="宋体" w:hAnsi="宋体" w:cs="仿宋_GB2312"/>
          <w:bCs/>
          <w:color w:val="auto"/>
          <w:sz w:val="32"/>
          <w:szCs w:val="32"/>
          <w:highlight w:val="none"/>
        </w:rPr>
      </w:pPr>
    </w:p>
    <w:p>
      <w:pPr>
        <w:pStyle w:val="6"/>
        <w:snapToGrid w:val="0"/>
        <w:spacing w:before="50" w:after="50"/>
        <w:ind w:firstLine="720" w:firstLineChars="225"/>
        <w:rPr>
          <w:rFonts w:hint="eastAsia" w:ascii="宋体" w:hAnsi="宋体" w:cs="仿宋_GB2312"/>
          <w:bCs/>
          <w:color w:val="auto"/>
          <w:sz w:val="32"/>
          <w:szCs w:val="32"/>
          <w:highlight w:val="none"/>
        </w:rPr>
      </w:pPr>
    </w:p>
    <w:p>
      <w:pPr>
        <w:pStyle w:val="6"/>
        <w:snapToGrid w:val="0"/>
        <w:spacing w:before="50" w:after="50"/>
        <w:ind w:firstLine="1280" w:firstLineChars="400"/>
        <w:rPr>
          <w:rFonts w:hint="eastAsia" w:ascii="宋体" w:hAnsi="宋体" w:cs="仿宋_GB2312"/>
          <w:bCs/>
          <w:color w:val="auto"/>
          <w:sz w:val="32"/>
          <w:szCs w:val="32"/>
          <w:highlight w:val="none"/>
        </w:rPr>
      </w:pPr>
    </w:p>
    <w:p>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pPr>
        <w:snapToGrid w:val="0"/>
        <w:spacing w:before="156" w:beforeLines="50" w:after="50" w:line="360" w:lineRule="auto"/>
        <w:ind w:left="142"/>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2.报价商务技术文件目录</w:t>
      </w:r>
    </w:p>
    <w:p>
      <w:pPr>
        <w:snapToGrid w:val="0"/>
        <w:spacing w:before="156"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pPr>
        <w:spacing w:line="400" w:lineRule="exact"/>
        <w:rPr>
          <w:rFonts w:hint="eastAsia" w:ascii="仿宋_GB2312" w:hAnsi="仿宋_GB2312" w:eastAsia="仿宋_GB2312" w:cs="仿宋_GB2312"/>
          <w:color w:val="auto"/>
          <w:sz w:val="32"/>
          <w:szCs w:val="32"/>
          <w:highlight w:val="none"/>
        </w:rPr>
      </w:pPr>
    </w:p>
    <w:p>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pPr>
        <w:spacing w:line="360" w:lineRule="auto"/>
        <w:ind w:firstLine="640" w:firstLineChars="200"/>
        <w:contextualSpacing/>
        <w:rPr>
          <w:rFonts w:hint="eastAsia" w:ascii="仿宋_GB2312" w:hAnsi="仿宋_GB2312" w:eastAsia="仿宋_GB2312" w:cs="仿宋_GB2312"/>
          <w:color w:val="auto"/>
          <w:sz w:val="32"/>
          <w:szCs w:val="32"/>
          <w:highlight w:val="none"/>
        </w:rPr>
      </w:pPr>
    </w:p>
    <w:p>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1.供应商直接或者间接从采购人处获得其他供应商的相关信息并修改其响应文件；</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2.供应商按照采购人的授意撤换、修改响应文件；</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4.属于同一集团、协会、商会等组织成员的供应商按照该组织要求协同参加采购活动；</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w:t>
      </w:r>
      <w:r>
        <w:rPr>
          <w:rFonts w:hint="eastAsia" w:ascii="宋体" w:hAnsi="宋体" w:cs="仿宋_GB2312"/>
          <w:color w:val="auto"/>
          <w:sz w:val="24"/>
          <w:highlight w:val="none"/>
          <w:lang w:val="en-US" w:eastAsia="zh-CN"/>
        </w:rPr>
        <w:t>本次</w:t>
      </w:r>
      <w:r>
        <w:rPr>
          <w:rFonts w:hint="eastAsia" w:ascii="宋体" w:hAnsi="宋体" w:cs="仿宋_GB2312"/>
          <w:color w:val="auto"/>
          <w:sz w:val="24"/>
          <w:highlight w:val="none"/>
        </w:rPr>
        <w:t>采购活动或者放弃成交；</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w:t>
      </w:r>
      <w:r>
        <w:rPr>
          <w:rFonts w:hint="eastAsia" w:ascii="宋体" w:hAnsi="宋体" w:cs="仿宋_GB2312"/>
          <w:color w:val="auto"/>
          <w:sz w:val="24"/>
          <w:highlight w:val="none"/>
          <w:lang w:eastAsia="zh-CN"/>
        </w:rPr>
        <w:t>人之间</w:t>
      </w:r>
      <w:r>
        <w:rPr>
          <w:rFonts w:hint="eastAsia" w:ascii="宋体" w:hAnsi="宋体" w:cs="仿宋_GB2312"/>
          <w:color w:val="auto"/>
          <w:sz w:val="24"/>
          <w:highlight w:val="none"/>
        </w:rPr>
        <w:t>、供应商相互之间，为</w:t>
      </w:r>
      <w:r>
        <w:rPr>
          <w:rFonts w:hint="eastAsia" w:ascii="宋体" w:hAnsi="宋体" w:cs="仿宋_GB2312"/>
          <w:color w:val="auto"/>
          <w:spacing w:val="-6"/>
          <w:sz w:val="24"/>
          <w:highlight w:val="none"/>
        </w:rPr>
        <w:t>谋求特定供应商成交或者排斥其他供应商的其他串通行为。</w:t>
      </w:r>
    </w:p>
    <w:p>
      <w:pPr>
        <w:spacing w:line="360" w:lineRule="auto"/>
        <w:ind w:firstLine="480" w:firstLineChars="200"/>
        <w:contextualSpacing/>
        <w:rPr>
          <w:rFonts w:hint="eastAsia" w:ascii="宋体" w:hAnsi="宋体" w:cs="仿宋_GB2312"/>
          <w:color w:val="auto"/>
          <w:sz w:val="24"/>
          <w:highlight w:val="none"/>
        </w:rPr>
      </w:pPr>
    </w:p>
    <w:p>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pPr>
        <w:spacing w:line="360" w:lineRule="auto"/>
        <w:contextualSpacing/>
        <w:rPr>
          <w:rFonts w:hint="eastAsia" w:ascii="宋体" w:hAnsi="宋体" w:cs="仿宋_GB2312"/>
          <w:color w:val="auto"/>
          <w:sz w:val="24"/>
          <w:highlight w:val="none"/>
        </w:rPr>
      </w:pPr>
    </w:p>
    <w:p>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供应商（盖章</w:t>
      </w:r>
      <w:r>
        <w:rPr>
          <w:rFonts w:hint="eastAsia" w:ascii="宋体" w:hAnsi="宋体" w:cs="仿宋_GB2312"/>
          <w:color w:val="auto"/>
          <w:sz w:val="24"/>
          <w:highlight w:val="none"/>
          <w:lang w:val="en-US" w:eastAsia="zh-CN"/>
        </w:rPr>
        <w:t>/签名</w:t>
      </w:r>
      <w:r>
        <w:rPr>
          <w:rFonts w:hint="eastAsia" w:ascii="宋体" w:hAnsi="宋体" w:cs="仿宋_GB2312"/>
          <w:color w:val="auto"/>
          <w:sz w:val="24"/>
          <w:highlight w:val="none"/>
        </w:rPr>
        <w:t>）：</w:t>
      </w:r>
    </w:p>
    <w:p>
      <w:pPr>
        <w:spacing w:line="360" w:lineRule="auto"/>
        <w:ind w:firstLine="480" w:firstLineChars="200"/>
        <w:contextualSpacing/>
        <w:jc w:val="center"/>
        <w:rPr>
          <w:rFonts w:hint="eastAsia"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pPr>
        <w:spacing w:line="520" w:lineRule="exact"/>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竞  标  报  价  表</w:t>
      </w:r>
    </w:p>
    <w:p>
      <w:pPr>
        <w:spacing w:line="440" w:lineRule="exact"/>
        <w:jc w:val="center"/>
        <w:rPr>
          <w:rFonts w:hint="eastAsia" w:ascii="方正小标宋简体" w:hAnsi="方正小标宋简体" w:eastAsia="方正小标宋简体" w:cs="方正小标宋简体"/>
          <w:bCs/>
          <w:color w:val="auto"/>
          <w:sz w:val="32"/>
          <w:szCs w:val="32"/>
          <w:highlight w:val="none"/>
        </w:rPr>
      </w:pPr>
    </w:p>
    <w:p>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分标</w:t>
      </w:r>
      <w:r>
        <w:rPr>
          <w:rFonts w:hint="eastAsia" w:ascii="宋体" w:hAnsi="宋体" w:cs="仿宋_GB2312"/>
          <w:color w:val="auto"/>
          <w:sz w:val="24"/>
          <w:highlight w:val="none"/>
          <w:lang w:eastAsia="zh-CN"/>
        </w:rPr>
        <w:t>（如有）</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p>
    <w:p>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rPr>
        <w:t xml:space="preserve"> 单位：元</w:t>
      </w:r>
    </w:p>
    <w:tbl>
      <w:tblPr>
        <w:tblStyle w:val="26"/>
        <w:tblW w:w="9095"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服务名称</w:t>
            </w:r>
          </w:p>
        </w:tc>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数量</w:t>
            </w:r>
          </w:p>
        </w:tc>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单位</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单价</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总价</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合计金额大写：人民币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r>
              <w:rPr>
                <w:rFonts w:hint="default" w:ascii="Arial" w:hAnsi="Arial" w:cs="Arial"/>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pPr>
        <w:spacing w:line="360" w:lineRule="auto"/>
        <w:contextualSpacing/>
        <w:jc w:val="left"/>
        <w:rPr>
          <w:rFonts w:ascii="宋体" w:hAnsi="宋体" w:cs="仿宋_GB2312"/>
          <w:color w:val="auto"/>
          <w:sz w:val="24"/>
          <w:highlight w:val="none"/>
        </w:rPr>
      </w:pPr>
    </w:p>
    <w:p>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注: </w:t>
      </w:r>
    </w:p>
    <w:p>
      <w:pPr>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1.供应商的报价表必须加盖供应商公章并由法定代表人或者委托代理人签名，</w:t>
      </w:r>
      <w:r>
        <w:rPr>
          <w:rFonts w:hint="eastAsia" w:ascii="宋体" w:hAnsi="宋体" w:cs="仿宋_GB2312"/>
          <w:b/>
          <w:color w:val="auto"/>
          <w:sz w:val="24"/>
          <w:highlight w:val="none"/>
        </w:rPr>
        <w:t>否则其响应文件按无效响应处理</w:t>
      </w:r>
      <w:r>
        <w:rPr>
          <w:rFonts w:hint="eastAsia" w:ascii="宋体" w:hAnsi="宋体" w:cs="仿宋_GB2312"/>
          <w:color w:val="auto"/>
          <w:sz w:val="24"/>
          <w:highlight w:val="none"/>
        </w:rPr>
        <w:t>。</w:t>
      </w:r>
    </w:p>
    <w:p>
      <w:pPr>
        <w:spacing w:line="360"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报价一经涂改，应在涂改处加盖供应商公章或者由法定代表人或者委托代理人签名或者盖章</w:t>
      </w:r>
      <w:r>
        <w:rPr>
          <w:rFonts w:hint="eastAsia" w:ascii="宋体" w:hAnsi="宋体" w:cs="仿宋_GB2312"/>
          <w:b/>
          <w:color w:val="auto"/>
          <w:sz w:val="24"/>
          <w:highlight w:val="none"/>
        </w:rPr>
        <w:t>，否则其响应文件按无效响应处理。</w:t>
      </w:r>
    </w:p>
    <w:p>
      <w:pPr>
        <w:spacing w:line="360" w:lineRule="auto"/>
        <w:ind w:firstLine="480" w:firstLineChars="200"/>
        <w:contextualSpacing/>
        <w:jc w:val="left"/>
        <w:rPr>
          <w:rFonts w:hint="eastAsia" w:ascii="宋体" w:hAnsi="宋体" w:cs="仿宋_GB2312"/>
          <w:color w:val="auto"/>
          <w:sz w:val="24"/>
          <w:highlight w:val="none"/>
        </w:rPr>
      </w:pPr>
      <w:r>
        <w:rPr>
          <w:rFonts w:ascii="宋体" w:hAnsi="宋体" w:cs="仿宋_GB2312"/>
          <w:color w:val="auto"/>
          <w:sz w:val="24"/>
          <w:highlight w:val="none"/>
        </w:rPr>
        <w:t>3</w:t>
      </w:r>
      <w:r>
        <w:rPr>
          <w:rFonts w:hint="eastAsia" w:ascii="宋体" w:hAnsi="宋体" w:cs="仿宋_GB2312"/>
          <w:color w:val="auto"/>
          <w:sz w:val="24"/>
          <w:highlight w:val="none"/>
        </w:rPr>
        <w:t>.如为联合体竞标，“供应商名称”处必须列明联合体各方名称，标注联合体牵头人名称，</w:t>
      </w:r>
      <w:r>
        <w:rPr>
          <w:rFonts w:hint="eastAsia" w:ascii="宋体" w:hAnsi="宋体" w:cs="仿宋_GB2312"/>
          <w:b/>
          <w:color w:val="auto"/>
          <w:sz w:val="24"/>
          <w:highlight w:val="none"/>
        </w:rPr>
        <w:t>否则其响应文件按无效响应处理。（采购人可根据项目情况自行修改是否需要联合体各方签名盖章）。</w:t>
      </w:r>
    </w:p>
    <w:p>
      <w:pPr>
        <w:spacing w:line="360" w:lineRule="auto"/>
        <w:ind w:firstLine="480" w:firstLineChars="200"/>
        <w:contextualSpacing/>
        <w:jc w:val="left"/>
        <w:rPr>
          <w:rFonts w:hint="eastAsia" w:ascii="宋体" w:hAns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.如为联合体竞标，盖章处须加盖联合体各方公章，</w:t>
      </w:r>
      <w:bookmarkStart w:id="55" w:name="_Hlk65851776"/>
      <w:r>
        <w:rPr>
          <w:rFonts w:hint="eastAsia" w:ascii="宋体" w:hAnsi="宋体" w:cs="仿宋_GB2312"/>
          <w:b/>
          <w:color w:val="auto"/>
          <w:sz w:val="24"/>
          <w:highlight w:val="none"/>
        </w:rPr>
        <w:t>否则其响应文件按无效响应处理。</w:t>
      </w:r>
      <w:bookmarkEnd w:id="55"/>
      <w:r>
        <w:rPr>
          <w:rFonts w:hint="eastAsia" w:ascii="宋体" w:hAnsi="宋体" w:cs="仿宋_GB2312"/>
          <w:b/>
          <w:color w:val="auto"/>
          <w:sz w:val="24"/>
          <w:highlight w:val="none"/>
        </w:rPr>
        <w:t>（采购人可根据项目情况自行修改是否需要联合体各方签名盖章）。</w:t>
      </w:r>
    </w:p>
    <w:p>
      <w:pPr>
        <w:spacing w:line="360" w:lineRule="auto"/>
        <w:ind w:firstLine="480" w:firstLineChars="200"/>
        <w:contextualSpacing/>
        <w:rPr>
          <w:rFonts w:hint="eastAsia" w:ascii="宋体" w:hAnsi="宋体" w:cs="仿宋_GB2312"/>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w:t>
      </w:r>
      <w:r>
        <w:rPr>
          <w:rFonts w:hint="eastAsia" w:ascii="宋体" w:hAnsi="宋体" w:cs="仿宋_GB2312"/>
          <w:color w:val="auto"/>
          <w:spacing w:val="-6"/>
          <w:sz w:val="24"/>
          <w:highlight w:val="none"/>
        </w:rPr>
        <w:t>如有多分标，分别列明各分标的报价表，</w:t>
      </w:r>
      <w:r>
        <w:rPr>
          <w:rFonts w:hint="eastAsia" w:ascii="宋体" w:hAnsi="宋体" w:cs="仿宋_GB2312"/>
          <w:b/>
          <w:color w:val="auto"/>
          <w:spacing w:val="-6"/>
          <w:sz w:val="24"/>
          <w:highlight w:val="none"/>
        </w:rPr>
        <w:t>否则其响应文件按无效响应处理。</w:t>
      </w:r>
    </w:p>
    <w:p>
      <w:pPr>
        <w:spacing w:line="360" w:lineRule="auto"/>
        <w:ind w:right="-817" w:rightChars="-389" w:firstLine="0" w:firstLineChars="0"/>
        <w:contextualSpacing/>
        <w:rPr>
          <w:rFonts w:hint="eastAsia" w:ascii="宋体" w:hAnsi="宋体" w:cs="仿宋_GB2312"/>
          <w:color w:val="auto"/>
          <w:sz w:val="24"/>
          <w:highlight w:val="none"/>
        </w:rPr>
      </w:pPr>
    </w:p>
    <w:p>
      <w:pPr>
        <w:spacing w:line="360" w:lineRule="auto"/>
        <w:ind w:right="-817" w:rightChars="-389" w:firstLine="960" w:firstLineChars="400"/>
        <w:contextualSpacing/>
        <w:rPr>
          <w:rFonts w:hint="eastAsia" w:ascii="宋体" w:hAnsi="宋体" w:cs="仿宋_GB2312"/>
          <w:color w:val="auto"/>
          <w:sz w:val="24"/>
          <w:highlight w:val="none"/>
        </w:rPr>
      </w:pPr>
    </w:p>
    <w:p>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供应商（盖章/</w:t>
      </w:r>
      <w:r>
        <w:rPr>
          <w:rFonts w:hint="eastAsia" w:ascii="宋体" w:hAnsi="宋体" w:cs="仿宋_GB2312"/>
          <w:color w:val="auto"/>
          <w:sz w:val="24"/>
          <w:highlight w:val="none"/>
          <w:lang w:eastAsia="zh-CN"/>
        </w:rPr>
        <w:t>签名</w:t>
      </w:r>
      <w:r>
        <w:rPr>
          <w:rFonts w:hint="eastAsia" w:ascii="宋体" w:hAnsi="宋体" w:cs="仿宋_GB2312"/>
          <w:color w:val="auto"/>
          <w:sz w:val="24"/>
          <w:highlight w:val="none"/>
        </w:rPr>
        <w:t>）：</w:t>
      </w:r>
    </w:p>
    <w:p>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法定代表人/负责人（或委托代理人）：    </w:t>
      </w:r>
    </w:p>
    <w:p>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pPr>
        <w:spacing w:line="360" w:lineRule="auto"/>
        <w:ind w:right="-817" w:rightChars="-389" w:firstLine="6240" w:firstLineChars="2600"/>
        <w:contextualSpacing/>
        <w:rPr>
          <w:rFonts w:hint="eastAsia" w:ascii="宋体" w:hAnsi="宋体" w:cs="仿宋_GB2312"/>
          <w:b/>
          <w:color w:val="auto"/>
          <w:sz w:val="24"/>
          <w:highlight w:val="none"/>
        </w:rPr>
      </w:pPr>
      <w:r>
        <w:rPr>
          <w:rFonts w:hint="eastAsia" w:ascii="宋体" w:hAnsi="宋体" w:cs="仿宋_GB2312"/>
          <w:color w:val="auto"/>
          <w:sz w:val="24"/>
          <w:highlight w:val="none"/>
        </w:rPr>
        <w:t xml:space="preserve">   年   月   日</w:t>
      </w:r>
    </w:p>
    <w:p>
      <w:pPr>
        <w:spacing w:before="312" w:beforeLines="100" w:after="156" w:afterLines="50" w:line="520" w:lineRule="exact"/>
        <w:ind w:left="540"/>
        <w:jc w:val="center"/>
        <w:rPr>
          <w:rFonts w:hint="eastAsia" w:ascii="仿宋_GB2312" w:hAnsi="仿宋_GB2312" w:eastAsia="仿宋_GB2312" w:cs="仿宋_GB2312"/>
          <w:color w:val="auto"/>
          <w:sz w:val="32"/>
          <w:szCs w:val="32"/>
          <w:highlight w:val="none"/>
        </w:rPr>
      </w:pPr>
      <w:r>
        <w:rPr>
          <w:rFonts w:hint="eastAsia" w:ascii="宋体" w:hAnsi="Courier New"/>
          <w:b/>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pPr>
        <w:spacing w:line="360" w:lineRule="auto"/>
        <w:ind w:left="540"/>
        <w:contextualSpacing/>
        <w:rPr>
          <w:rFonts w:hint="eastAsia" w:ascii="仿宋_GB2312" w:hAnsi="仿宋_GB2312" w:eastAsia="仿宋_GB2312" w:cs="仿宋_GB2312"/>
          <w:color w:val="auto"/>
          <w:sz w:val="32"/>
          <w:szCs w:val="32"/>
          <w:highlight w:val="none"/>
        </w:rPr>
      </w:pPr>
    </w:p>
    <w:p>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pPr>
        <w:spacing w:line="360" w:lineRule="auto"/>
        <w:ind w:left="540"/>
        <w:contextualSpacing/>
        <w:rPr>
          <w:rFonts w:hint="eastAsia" w:ascii="宋体" w:hAnsi="宋体" w:cs="仿宋_GB2312"/>
          <w:color w:val="auto"/>
          <w:sz w:val="24"/>
          <w:highlight w:val="none"/>
        </w:rPr>
      </w:pPr>
    </w:p>
    <w:p>
      <w:pPr>
        <w:spacing w:line="360" w:lineRule="auto"/>
        <w:ind w:left="540"/>
        <w:contextualSpacing/>
        <w:rPr>
          <w:rFonts w:hint="eastAsia" w:ascii="宋体" w:hAnsi="宋体" w:cs="仿宋_GB2312"/>
          <w:color w:val="auto"/>
          <w:sz w:val="24"/>
          <w:highlight w:val="none"/>
        </w:rPr>
      </w:pPr>
    </w:p>
    <w:p>
      <w:pPr>
        <w:spacing w:line="360" w:lineRule="auto"/>
        <w:ind w:left="540"/>
        <w:contextualSpacing/>
        <w:rPr>
          <w:rFonts w:hint="eastAsia" w:ascii="宋体" w:hAnsi="宋体" w:cs="仿宋_GB2312"/>
          <w:color w:val="auto"/>
          <w:sz w:val="24"/>
          <w:highlight w:val="none"/>
        </w:rPr>
      </w:pPr>
    </w:p>
    <w:p>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pPr>
        <w:spacing w:line="360" w:lineRule="auto"/>
        <w:ind w:left="540"/>
        <w:contextualSpacing/>
        <w:rPr>
          <w:rFonts w:hint="eastAsia" w:ascii="宋体" w:hAnsi="宋体" w:cs="仿宋_GB2312"/>
          <w:color w:val="auto"/>
          <w:sz w:val="24"/>
          <w:highlight w:val="none"/>
        </w:rPr>
      </w:pPr>
    </w:p>
    <w:p>
      <w:pPr>
        <w:spacing w:line="360" w:lineRule="auto"/>
        <w:ind w:left="540"/>
        <w:contextualSpacing/>
        <w:jc w:val="center"/>
        <w:rPr>
          <w:rFonts w:hint="eastAsia" w:ascii="宋体" w:hAnsi="宋体" w:cs="仿宋_GB2312"/>
          <w:color w:val="auto"/>
          <w:sz w:val="24"/>
          <w:highlight w:val="none"/>
        </w:rPr>
      </w:pPr>
    </w:p>
    <w:p>
      <w:pPr>
        <w:spacing w:line="360" w:lineRule="auto"/>
        <w:ind w:left="540"/>
        <w:contextualSpacing/>
        <w:jc w:val="center"/>
        <w:rPr>
          <w:rFonts w:hint="eastAsia" w:ascii="宋体" w:hAnsi="宋体" w:cs="仿宋_GB2312"/>
          <w:color w:val="auto"/>
          <w:sz w:val="24"/>
          <w:highlight w:val="none"/>
        </w:rPr>
      </w:pPr>
    </w:p>
    <w:p>
      <w:pPr>
        <w:spacing w:line="360" w:lineRule="auto"/>
        <w:ind w:left="540"/>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供应商（盖章）：</w:t>
      </w:r>
      <w:r>
        <w:rPr>
          <w:rFonts w:hint="eastAsia" w:ascii="宋体" w:hAnsi="宋体" w:cs="仿宋_GB2312"/>
          <w:color w:val="auto"/>
          <w:sz w:val="24"/>
          <w:highlight w:val="none"/>
          <w:u w:val="none"/>
        </w:rPr>
        <w:t xml:space="preserve">               </w:t>
      </w:r>
    </w:p>
    <w:p>
      <w:pPr>
        <w:spacing w:line="360" w:lineRule="auto"/>
        <w:ind w:firstLine="4080" w:firstLineChars="1700"/>
        <w:contextualSpacing/>
        <w:rPr>
          <w:rFonts w:hint="eastAsia" w:ascii="宋体" w:hAnsi="宋体" w:cs="仿宋_GB2312"/>
          <w:color w:val="auto"/>
          <w:sz w:val="24"/>
          <w:highlight w:val="none"/>
          <w:u w:val="single"/>
        </w:rPr>
      </w:pPr>
    </w:p>
    <w:p>
      <w:pPr>
        <w:spacing w:line="360" w:lineRule="auto"/>
        <w:ind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u w:val="non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non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none"/>
        </w:rPr>
        <w:t xml:space="preserve">     </w:t>
      </w:r>
      <w:r>
        <w:rPr>
          <w:rFonts w:hint="eastAsia" w:ascii="宋体" w:hAnsi="宋体" w:cs="仿宋_GB2312"/>
          <w:color w:val="auto"/>
          <w:sz w:val="24"/>
          <w:highlight w:val="none"/>
        </w:rPr>
        <w:t>日</w:t>
      </w:r>
    </w:p>
    <w:p>
      <w:pPr>
        <w:spacing w:line="360" w:lineRule="auto"/>
        <w:contextualSpacing/>
        <w:jc w:val="center"/>
        <w:rPr>
          <w:rFonts w:hint="eastAsia" w:ascii="宋体" w:hAnsi="宋体" w:cs="仿宋_GB2312"/>
          <w:b/>
          <w:color w:val="auto"/>
          <w:sz w:val="24"/>
          <w:highlight w:val="none"/>
        </w:rPr>
      </w:pPr>
    </w:p>
    <w:p>
      <w:pPr>
        <w:spacing w:line="360" w:lineRule="auto"/>
        <w:contextualSpacing/>
        <w:jc w:val="left"/>
        <w:rPr>
          <w:rFonts w:hint="eastAsia" w:ascii="宋体" w:hAnsi="宋体" w:cs="仿宋_GB2312"/>
          <w:color w:val="auto"/>
          <w:sz w:val="24"/>
          <w:highlight w:val="none"/>
        </w:rPr>
      </w:pPr>
    </w:p>
    <w:p>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pPr>
        <w:adjustRightInd w:val="0"/>
        <w:snapToGrid w:val="0"/>
        <w:spacing w:line="300" w:lineRule="auto"/>
        <w:jc w:val="left"/>
        <w:rPr>
          <w:rFonts w:hint="eastAsia" w:ascii="宋体" w:hAnsi="宋体"/>
          <w:b/>
          <w:color w:val="auto"/>
          <w:szCs w:val="21"/>
          <w:highlight w:val="none"/>
        </w:rPr>
      </w:pPr>
    </w:p>
    <w:p>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ascii="方正小标宋简体" w:hAnsi="方正小标宋简体" w:eastAsia="方正小标宋简体" w:cs="方正小标宋简体"/>
          <w:color w:val="auto"/>
          <w:sz w:val="44"/>
          <w:szCs w:val="44"/>
          <w:highlight w:val="none"/>
        </w:rPr>
        <w:t xml:space="preserve"> </w:t>
      </w:r>
    </w:p>
    <w:p>
      <w:pPr>
        <w:spacing w:line="520" w:lineRule="exact"/>
        <w:jc w:val="center"/>
        <w:rPr>
          <w:rFonts w:hint="eastAsia" w:ascii="方正小标宋简体" w:hAnsi="方正小标宋简体" w:eastAsia="方正小标宋简体" w:cs="方正小标宋简体"/>
          <w:color w:val="auto"/>
          <w:sz w:val="44"/>
          <w:szCs w:val="44"/>
          <w:highlight w:val="none"/>
        </w:rPr>
      </w:pPr>
      <w:bookmarkStart w:id="56" w:name="_Hlk65853643"/>
      <w:r>
        <w:rPr>
          <w:rFonts w:hint="eastAsia" w:ascii="方正小标宋简体" w:hAnsi="方正小标宋简体" w:eastAsia="方正小标宋简体" w:cs="方正小标宋简体"/>
          <w:color w:val="auto"/>
          <w:sz w:val="44"/>
          <w:szCs w:val="44"/>
          <w:highlight w:val="none"/>
        </w:rPr>
        <w:t>授权委托书</w:t>
      </w:r>
    </w:p>
    <w:p>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pPr>
        <w:spacing w:line="520" w:lineRule="exact"/>
        <w:rPr>
          <w:rFonts w:hint="eastAsia" w:ascii="仿宋_GB2312" w:hAnsi="仿宋_GB2312" w:eastAsia="仿宋_GB2312" w:cs="仿宋_GB2312"/>
          <w:color w:val="auto"/>
          <w:sz w:val="32"/>
          <w:szCs w:val="32"/>
          <w:highlight w:val="none"/>
        </w:rPr>
      </w:pP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rPr>
        <w:sym w:font="Wingdings" w:char="00FE"/>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我方对委托代理人的签名事项负全部责任。</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委托代理人（签名）：                             </w:t>
      </w:r>
    </w:p>
    <w:p>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pPr>
        <w:spacing w:line="360" w:lineRule="auto"/>
        <w:ind w:firstLine="2880" w:firstLineChars="1200"/>
        <w:contextualSpacing/>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供应商</w:t>
      </w:r>
      <w:r>
        <w:rPr>
          <w:rFonts w:hint="eastAsia" w:ascii="宋体" w:hAnsi="宋体" w:cs="仿宋_GB2312"/>
          <w:color w:val="auto"/>
          <w:sz w:val="24"/>
          <w:highlight w:val="none"/>
        </w:rPr>
        <w:t>（盖章/</w:t>
      </w:r>
      <w:r>
        <w:rPr>
          <w:rFonts w:hint="eastAsia" w:ascii="宋体" w:hAnsi="宋体" w:cs="仿宋_GB2312"/>
          <w:color w:val="auto"/>
          <w:sz w:val="24"/>
          <w:highlight w:val="none"/>
          <w:lang w:eastAsia="zh-CN"/>
        </w:rPr>
        <w:t>签名</w:t>
      </w:r>
      <w:r>
        <w:rPr>
          <w:rFonts w:hint="eastAsia" w:ascii="宋体" w:hAnsi="宋体" w:cs="仿宋_GB2312"/>
          <w:color w:val="auto"/>
          <w:sz w:val="24"/>
          <w:highlight w:val="none"/>
        </w:rPr>
        <w:t>）：</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rPr>
        <w:t xml:space="preserve"> 法定代表人/负责人（或委托代理人）：                       </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rPr>
        <w:t xml:space="preserve">   年    月    日</w:t>
      </w:r>
    </w:p>
    <w:p>
      <w:pPr>
        <w:spacing w:line="360" w:lineRule="auto"/>
        <w:rPr>
          <w:rFonts w:hint="eastAsia" w:ascii="宋体" w:hAnsi="宋体" w:cs="仿宋_GB2312"/>
          <w:color w:val="auto"/>
          <w:sz w:val="24"/>
          <w:highlight w:val="none"/>
        </w:rPr>
      </w:pPr>
    </w:p>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法定代表人必须在授权委托书上亲笔签名或者盖章，委托代理人必须在授权委托书上亲笔签名，</w:t>
      </w:r>
      <w:r>
        <w:rPr>
          <w:rFonts w:hint="eastAsia" w:ascii="宋体" w:hAnsi="宋体" w:cs="仿宋_GB2312"/>
          <w:b/>
          <w:color w:val="auto"/>
          <w:sz w:val="24"/>
          <w:highlight w:val="none"/>
        </w:rPr>
        <w:t>否则其响应文件按无效响应处理。</w:t>
      </w:r>
    </w:p>
    <w:p>
      <w:pPr>
        <w:spacing w:line="360" w:lineRule="auto"/>
        <w:rPr>
          <w:rFonts w:hint="eastAsia" w:ascii="宋体" w:hAnsi="宋体" w:cs="仿宋_GB2312"/>
          <w:color w:val="auto"/>
          <w:sz w:val="24"/>
          <w:highlight w:val="none"/>
        </w:rPr>
      </w:pPr>
      <w:r>
        <w:rPr>
          <w:rFonts w:ascii="宋体" w:hAnsi="宋体" w:cs="仿宋_GB2312"/>
          <w:color w:val="auto"/>
          <w:sz w:val="24"/>
          <w:highlight w:val="none"/>
        </w:rPr>
        <w:t>2.</w:t>
      </w:r>
      <w:bookmarkStart w:id="57" w:name="_Hlk65853109"/>
      <w:r>
        <w:rPr>
          <w:rFonts w:hint="eastAsia" w:ascii="宋体" w:hAnsi="宋体" w:cs="仿宋_GB2312"/>
          <w:color w:val="auto"/>
          <w:sz w:val="24"/>
          <w:highlight w:val="none"/>
        </w:rPr>
        <w:t>法人、</w:t>
      </w:r>
      <w:r>
        <w:rPr>
          <w:rFonts w:hint="eastAsia" w:ascii="宋体" w:hAnsi="宋体" w:cs="仿宋_GB2312"/>
          <w:color w:val="auto"/>
          <w:sz w:val="24"/>
          <w:highlight w:val="none"/>
          <w:lang w:eastAsia="zh-CN"/>
        </w:rPr>
        <w:t>非法人组织</w:t>
      </w:r>
      <w:r>
        <w:rPr>
          <w:rFonts w:hint="eastAsia" w:ascii="宋体" w:hAnsi="宋体" w:cs="仿宋_GB2312"/>
          <w:color w:val="auto"/>
          <w:sz w:val="24"/>
          <w:highlight w:val="none"/>
        </w:rPr>
        <w:t>竞标时“我方”是指“我单位”，自然人竞标时“我方”是指“本人”。</w:t>
      </w:r>
      <w:bookmarkEnd w:id="57"/>
    </w:p>
    <w:p>
      <w:pPr>
        <w:spacing w:line="360" w:lineRule="auto"/>
        <w:rPr>
          <w:rFonts w:hint="eastAsia" w:ascii="宋体" w:hAnsi="宋体" w:cs="仿宋_GB2312"/>
          <w:color w:val="auto"/>
          <w:sz w:val="24"/>
          <w:highlight w:val="none"/>
        </w:rPr>
      </w:pPr>
    </w:p>
    <w:bookmarkEnd w:id="56"/>
    <w:p>
      <w:pPr>
        <w:spacing w:line="360" w:lineRule="auto"/>
        <w:jc w:val="left"/>
        <w:rPr>
          <w:rFonts w:hint="eastAsia" w:ascii="宋体" w:hAnsi="宋体" w:cs="仿宋_GB2312"/>
          <w:color w:val="auto"/>
          <w:spacing w:val="-11"/>
          <w:sz w:val="24"/>
          <w:highlight w:val="none"/>
        </w:rPr>
      </w:pPr>
    </w:p>
    <w:p>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仿宋_GB2312" w:hAnsi="仿宋_GB2312" w:eastAsia="仿宋_GB2312" w:cs="仿宋_GB2312"/>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商务要求偏离表格式</w:t>
      </w:r>
    </w:p>
    <w:p>
      <w:pPr>
        <w:spacing w:line="500" w:lineRule="exact"/>
        <w:jc w:val="center"/>
        <w:rPr>
          <w:rFonts w:hint="eastAsia" w:ascii="方正小标宋简体" w:hAnsi="方正小标宋简体" w:eastAsia="方正小标宋简体" w:cs="方正小标宋简体"/>
          <w:bCs/>
          <w:color w:val="auto"/>
          <w:sz w:val="32"/>
          <w:szCs w:val="32"/>
          <w:highlight w:val="none"/>
        </w:rPr>
      </w:pPr>
    </w:p>
    <w:p>
      <w:pPr>
        <w:spacing w:line="500" w:lineRule="exact"/>
        <w:jc w:val="center"/>
        <w:rPr>
          <w:rFonts w:hint="eastAsia" w:ascii="宋体" w:hAnsi="宋体"/>
          <w:b/>
          <w:i/>
          <w:iCs/>
          <w:color w:val="auto"/>
          <w:sz w:val="32"/>
          <w:szCs w:val="32"/>
          <w:highlight w:val="none"/>
        </w:rPr>
      </w:pPr>
      <w:r>
        <w:rPr>
          <w:rFonts w:hint="eastAsia" w:ascii="方正小标宋简体" w:hAnsi="方正小标宋简体" w:eastAsia="方正小标宋简体" w:cs="方正小标宋简体"/>
          <w:bCs/>
          <w:i/>
          <w:iCs/>
          <w:color w:val="auto"/>
          <w:sz w:val="32"/>
          <w:szCs w:val="32"/>
          <w:highlight w:val="none"/>
        </w:rPr>
        <w:t>（注：按采购需求具体条款修改）</w:t>
      </w:r>
    </w:p>
    <w:p>
      <w:pPr>
        <w:spacing w:line="360" w:lineRule="auto"/>
        <w:contextualSpacing/>
        <w:jc w:val="left"/>
        <w:rPr>
          <w:rFonts w:hint="eastAsia" w:ascii="宋体" w:hAnsi="宋体"/>
          <w:color w:val="auto"/>
          <w:sz w:val="24"/>
          <w:highlight w:val="none"/>
        </w:rPr>
      </w:pPr>
    </w:p>
    <w:p>
      <w:pPr>
        <w:pStyle w:val="16"/>
        <w:spacing w:line="360" w:lineRule="auto"/>
        <w:contextualSpacing/>
        <w:rPr>
          <w:rFonts w:hint="eastAsia" w:hAnsi="宋体" w:cs="仿宋_GB2312"/>
          <w:color w:val="auto"/>
          <w:sz w:val="24"/>
          <w:szCs w:val="24"/>
          <w:highlight w:val="none"/>
        </w:rPr>
      </w:pPr>
      <w:r>
        <w:rPr>
          <w:rFonts w:hint="eastAsia" w:hAnsi="宋体" w:cs="仿宋_GB2312"/>
          <w:color w:val="auto"/>
          <w:sz w:val="24"/>
          <w:szCs w:val="24"/>
          <w:highlight w:val="none"/>
        </w:rPr>
        <w:t>所竞分标</w:t>
      </w:r>
      <w:r>
        <w:rPr>
          <w:rFonts w:hint="eastAsia" w:hAnsi="宋体" w:cs="仿宋_GB2312"/>
          <w:color w:val="auto"/>
          <w:sz w:val="24"/>
          <w:szCs w:val="24"/>
          <w:highlight w:val="none"/>
          <w:lang w:eastAsia="zh-CN"/>
        </w:rPr>
        <w:t>（如有）</w:t>
      </w:r>
      <w:r>
        <w:rPr>
          <w:rFonts w:hint="eastAsia" w:hAnsi="宋体" w:cs="仿宋_GB2312"/>
          <w:color w:val="auto"/>
          <w:sz w:val="24"/>
          <w:szCs w:val="24"/>
          <w:highlight w:val="none"/>
        </w:rPr>
        <w:t>：</w:t>
      </w:r>
      <w:r>
        <w:rPr>
          <w:rFonts w:hint="eastAsia" w:hAnsi="宋体" w:cs="仿宋_GB2312"/>
          <w:color w:val="auto"/>
          <w:sz w:val="24"/>
          <w:szCs w:val="24"/>
          <w:highlight w:val="none"/>
          <w:u w:val="single"/>
        </w:rPr>
        <w:t xml:space="preserve">              </w:t>
      </w:r>
    </w:p>
    <w:p>
      <w:pPr>
        <w:spacing w:line="360" w:lineRule="auto"/>
        <w:contextualSpacing/>
        <w:jc w:val="left"/>
        <w:rPr>
          <w:rFonts w:hint="eastAsia" w:ascii="宋体" w:hAnsi="宋体" w:cs="仿宋_GB2312"/>
          <w:color w:val="auto"/>
          <w:sz w:val="24"/>
          <w:highlight w:val="none"/>
          <w:u w:val="single"/>
        </w:rPr>
      </w:pPr>
    </w:p>
    <w:tbl>
      <w:tblPr>
        <w:tblStyle w:val="26"/>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交付（实施）的时间（期限）和地点（范围）</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合同签订时间</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3"/>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3"/>
              <w:contextualSpacing/>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color w:val="auto"/>
                <w:sz w:val="24"/>
                <w:highlight w:val="none"/>
              </w:rPr>
            </w:pPr>
          </w:p>
        </w:tc>
      </w:tr>
    </w:tbl>
    <w:p>
      <w:pPr>
        <w:pStyle w:val="10"/>
        <w:spacing w:after="0" w:line="360"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注：</w:t>
      </w:r>
    </w:p>
    <w:p>
      <w:pPr>
        <w:pStyle w:val="10"/>
        <w:spacing w:after="0" w:line="360"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1. 说明：应对照磋商文件“第三章 采购需求”中的商务要求逐条作出明确响应，并作出偏离说明。</w:t>
      </w:r>
    </w:p>
    <w:p>
      <w:pPr>
        <w:spacing w:line="360" w:lineRule="auto"/>
        <w:contextualSpacing/>
        <w:jc w:val="left"/>
        <w:rPr>
          <w:rFonts w:hint="eastAsia" w:ascii="宋体" w:hAnsi="宋体" w:cs="仿宋_GB2312"/>
          <w:color w:val="auto"/>
          <w:sz w:val="24"/>
          <w:highlight w:val="none"/>
          <w:u w:val="single"/>
        </w:rPr>
      </w:pPr>
      <w:r>
        <w:rPr>
          <w:rFonts w:hint="eastAsia" w:ascii="宋体" w:hAnsi="宋体"/>
          <w:color w:val="auto"/>
          <w:kern w:val="0"/>
          <w:sz w:val="24"/>
          <w:highlight w:val="none"/>
        </w:rPr>
        <w:t>2.供应商应根据自身的承诺，对照磋商文件要求在“偏离说明”中注明“正偏离”、“负偏离”或者“无偏离”。既不属于“正偏离”也不属于“负偏离”即为“无偏离”。</w:t>
      </w:r>
    </w:p>
    <w:p>
      <w:pPr>
        <w:spacing w:line="360" w:lineRule="auto"/>
        <w:ind w:right="-817" w:rightChars="-389"/>
        <w:contextualSpacing/>
        <w:rPr>
          <w:rFonts w:hint="eastAsia" w:ascii="宋体" w:hAnsi="宋体" w:cs="仿宋_GB2312"/>
          <w:color w:val="auto"/>
          <w:sz w:val="24"/>
          <w:highlight w:val="none"/>
        </w:rPr>
      </w:pPr>
    </w:p>
    <w:p>
      <w:pPr>
        <w:spacing w:line="360" w:lineRule="auto"/>
        <w:ind w:right="-817" w:rightChars="-389" w:firstLine="2880" w:firstLineChars="12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color w:val="auto"/>
          <w:sz w:val="24"/>
          <w:highlight w:val="none"/>
        </w:rPr>
        <w:t>（盖章/</w:t>
      </w:r>
      <w:r>
        <w:rPr>
          <w:rFonts w:hint="eastAsia" w:ascii="宋体" w:hAnsi="宋体"/>
          <w:color w:val="auto"/>
          <w:sz w:val="24"/>
          <w:highlight w:val="none"/>
          <w:lang w:eastAsia="zh-CN"/>
        </w:rPr>
        <w:t>签名</w:t>
      </w:r>
      <w:r>
        <w:rPr>
          <w:rFonts w:hint="eastAsia" w:ascii="宋体" w:hAnsi="宋体"/>
          <w:color w:val="auto"/>
          <w:sz w:val="24"/>
          <w:highlight w:val="none"/>
        </w:rPr>
        <w:t>）</w:t>
      </w:r>
      <w:r>
        <w:rPr>
          <w:rFonts w:hint="eastAsia" w:ascii="宋体" w:hAnsi="宋体" w:cs="仿宋_GB2312"/>
          <w:color w:val="auto"/>
          <w:sz w:val="24"/>
          <w:highlight w:val="none"/>
        </w:rPr>
        <w:t xml:space="preserve">：      </w:t>
      </w:r>
    </w:p>
    <w:p>
      <w:pPr>
        <w:pStyle w:val="2"/>
        <w:ind w:firstLine="780" w:firstLineChars="300"/>
        <w:rPr>
          <w:rFonts w:hint="eastAsia"/>
          <w:color w:val="auto"/>
          <w:highlight w:val="none"/>
        </w:rPr>
      </w:pPr>
      <w:r>
        <w:rPr>
          <w:rFonts w:hint="eastAsia" w:ascii="宋体" w:hAnsi="宋体"/>
          <w:color w:val="auto"/>
          <w:sz w:val="24"/>
          <w:highlight w:val="none"/>
        </w:rPr>
        <w:t>法定代表人/负责人（或委托代理人）：</w:t>
      </w:r>
    </w:p>
    <w:p>
      <w:pPr>
        <w:spacing w:line="360" w:lineRule="auto"/>
        <w:ind w:right="-817" w:rightChars="-389" w:firstLine="4080" w:firstLineChars="1700"/>
        <w:contextualSpacing/>
        <w:rPr>
          <w:rFonts w:hint="eastAsia" w:ascii="宋体" w:hAnsi="宋体" w:cs="仿宋_GB2312"/>
          <w:color w:val="auto"/>
          <w:sz w:val="24"/>
          <w:highlight w:val="none"/>
        </w:rPr>
      </w:pPr>
    </w:p>
    <w:p>
      <w:pPr>
        <w:spacing w:line="360" w:lineRule="auto"/>
        <w:ind w:right="-817" w:rightChars="-389" w:firstLine="6240" w:firstLineChars="2600"/>
        <w:contextualSpacing/>
        <w:rPr>
          <w:rFonts w:hint="eastAsia"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 xml:space="preserve">   年   月   日</w:t>
      </w:r>
    </w:p>
    <w:p>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auto"/>
          <w:sz w:val="44"/>
          <w:szCs w:val="44"/>
          <w:highlight w:val="none"/>
        </w:rPr>
      </w:pPr>
    </w:p>
    <w:p>
      <w:pPr>
        <w:adjustRightInd w:val="0"/>
        <w:snapToGrid w:val="0"/>
        <w:spacing w:line="520" w:lineRule="exact"/>
        <w:jc w:val="both"/>
        <w:rPr>
          <w:rFonts w:hint="eastAsia" w:ascii="方正小标宋简体" w:hAnsi="方正小标宋简体" w:eastAsia="方正小标宋简体" w:cs="方正小标宋简体"/>
          <w:bCs/>
          <w:color w:val="auto"/>
          <w:sz w:val="44"/>
          <w:szCs w:val="44"/>
          <w:highlight w:val="none"/>
        </w:rPr>
      </w:pPr>
    </w:p>
    <w:p>
      <w:pPr>
        <w:adjustRightInd w:val="0"/>
        <w:snapToGrid w:val="0"/>
        <w:spacing w:line="520" w:lineRule="exact"/>
        <w:rPr>
          <w:rFonts w:hint="eastAsia" w:ascii="宋体" w:hAnsi="宋体"/>
          <w:color w:val="auto"/>
          <w:szCs w:val="21"/>
          <w:highlight w:val="none"/>
          <w:u w:val="single"/>
        </w:rPr>
      </w:pPr>
    </w:p>
    <w:p>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技术要求偏离表</w:t>
      </w:r>
    </w:p>
    <w:p>
      <w:pPr>
        <w:spacing w:line="520" w:lineRule="exact"/>
        <w:rPr>
          <w:rFonts w:hint="eastAsia" w:ascii="仿宋_GB2312" w:hAnsi="仿宋_GB2312" w:eastAsia="仿宋_GB2312" w:cs="仿宋_GB2312"/>
          <w:color w:val="auto"/>
          <w:sz w:val="32"/>
          <w:szCs w:val="32"/>
          <w:highlight w:val="none"/>
        </w:rPr>
      </w:pPr>
    </w:p>
    <w:p>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项目编号</w:t>
      </w:r>
      <w:r>
        <w:rPr>
          <w:rFonts w:hint="eastAsia" w:ascii="宋体" w:hAnsi="宋体" w:cs="仿宋_GB2312"/>
          <w:color w:val="auto"/>
          <w:sz w:val="24"/>
          <w:highlight w:val="none"/>
          <w:lang w:eastAsia="zh-CN"/>
        </w:rPr>
        <w:t>（如有）</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p>
    <w:p>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p>
    <w:p>
      <w:pPr>
        <w:pStyle w:val="2"/>
        <w:rPr>
          <w:rFonts w:hint="eastAsia"/>
          <w:color w:val="auto"/>
          <w:highlight w:val="none"/>
        </w:rPr>
      </w:pPr>
      <w:r>
        <w:rPr>
          <w:rFonts w:hint="eastAsia" w:ascii="宋体" w:hAnsi="宋体" w:cs="仿宋_GB2312"/>
          <w:color w:val="auto"/>
          <w:sz w:val="24"/>
          <w:highlight w:val="none"/>
        </w:rPr>
        <w:t>分标号</w:t>
      </w:r>
      <w:r>
        <w:rPr>
          <w:rFonts w:hint="eastAsia" w:ascii="宋体" w:hAnsi="宋体" w:cs="仿宋_GB2312"/>
          <w:color w:val="auto"/>
          <w:sz w:val="24"/>
          <w:highlight w:val="none"/>
          <w:lang w:eastAsia="zh-CN"/>
        </w:rPr>
        <w:t>（如有）</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p>
    <w:tbl>
      <w:tblPr>
        <w:tblStyle w:val="26"/>
        <w:tblW w:w="8939"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9"/>
        <w:gridCol w:w="899"/>
        <w:gridCol w:w="2986"/>
        <w:gridCol w:w="2688"/>
        <w:gridCol w:w="14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899" w:type="dxa"/>
            <w:noWrap w:val="0"/>
            <w:vAlign w:val="center"/>
          </w:tcPr>
          <w:p>
            <w:pPr>
              <w:pStyle w:val="13"/>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58" w:name="_Toc297193185"/>
            <w:bookmarkStart w:id="59" w:name="_Toc254970729"/>
            <w:bookmarkStart w:id="60" w:name="_Toc383699906"/>
            <w:bookmarkStart w:id="61" w:name="_Toc295404981"/>
            <w:bookmarkStart w:id="62" w:name="_Toc254970588"/>
            <w:bookmarkStart w:id="63" w:name="_Toc173211900"/>
            <w:bookmarkStart w:id="64" w:name="_Toc173066401"/>
            <w:bookmarkStart w:id="65" w:name="_Toc301781611"/>
            <w:bookmarkStart w:id="66" w:name="_Toc373333689"/>
            <w:r>
              <w:rPr>
                <w:rFonts w:hint="eastAsia" w:ascii="宋体" w:hAnsi="宋体" w:eastAsia="宋体" w:cs="仿宋_GB2312"/>
                <w:color w:val="auto"/>
                <w:kern w:val="2"/>
                <w:sz w:val="24"/>
                <w:szCs w:val="24"/>
                <w:highlight w:val="none"/>
              </w:rPr>
              <w:t>序号</w:t>
            </w:r>
            <w:bookmarkEnd w:id="58"/>
            <w:bookmarkEnd w:id="59"/>
            <w:bookmarkEnd w:id="60"/>
            <w:bookmarkEnd w:id="61"/>
            <w:bookmarkEnd w:id="62"/>
            <w:bookmarkEnd w:id="63"/>
            <w:bookmarkEnd w:id="64"/>
            <w:bookmarkEnd w:id="65"/>
            <w:bookmarkEnd w:id="66"/>
          </w:p>
        </w:tc>
        <w:tc>
          <w:tcPr>
            <w:tcW w:w="899" w:type="dxa"/>
            <w:tcBorders>
              <w:right w:val="single" w:color="auto" w:sz="4" w:space="0"/>
            </w:tcBorders>
            <w:noWrap w:val="0"/>
            <w:vAlign w:val="center"/>
          </w:tcPr>
          <w:p>
            <w:pPr>
              <w:pStyle w:val="13"/>
              <w:spacing w:line="360" w:lineRule="auto"/>
              <w:ind w:firstLine="0" w:firstLineChars="0"/>
              <w:contextualSpacing/>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名称</w:t>
            </w:r>
          </w:p>
        </w:tc>
        <w:tc>
          <w:tcPr>
            <w:tcW w:w="2986" w:type="dxa"/>
            <w:tcBorders>
              <w:left w:val="single" w:color="auto" w:sz="4" w:space="0"/>
            </w:tcBorders>
            <w:noWrap w:val="0"/>
            <w:vAlign w:val="center"/>
          </w:tcPr>
          <w:p>
            <w:pPr>
              <w:pStyle w:val="13"/>
              <w:spacing w:line="360" w:lineRule="auto"/>
              <w:ind w:firstLine="0" w:firstLineChars="0"/>
              <w:contextualSpacing/>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磋商文件技术要求</w:t>
            </w:r>
          </w:p>
        </w:tc>
        <w:tc>
          <w:tcPr>
            <w:tcW w:w="2688" w:type="dxa"/>
            <w:noWrap w:val="0"/>
            <w:vAlign w:val="center"/>
          </w:tcPr>
          <w:p>
            <w:pPr>
              <w:pStyle w:val="13"/>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67" w:name="_Toc297193187"/>
            <w:bookmarkStart w:id="68" w:name="_Toc383699908"/>
            <w:bookmarkStart w:id="69" w:name="_Toc295404983"/>
            <w:bookmarkStart w:id="70" w:name="_Toc173066403"/>
            <w:bookmarkStart w:id="71" w:name="_Toc301781613"/>
            <w:bookmarkStart w:id="72" w:name="_Toc373333691"/>
            <w:bookmarkStart w:id="73" w:name="_Toc254970590"/>
            <w:bookmarkStart w:id="74" w:name="_Toc173211902"/>
            <w:bookmarkStart w:id="75" w:name="_Toc254970731"/>
            <w:r>
              <w:rPr>
                <w:rFonts w:hint="eastAsia" w:ascii="宋体" w:hAnsi="宋体" w:eastAsia="宋体" w:cs="仿宋_GB2312"/>
                <w:color w:val="auto"/>
                <w:kern w:val="2"/>
                <w:sz w:val="24"/>
                <w:szCs w:val="24"/>
                <w:highlight w:val="none"/>
              </w:rPr>
              <w:t>竞标响应</w:t>
            </w:r>
            <w:bookmarkEnd w:id="67"/>
            <w:bookmarkEnd w:id="68"/>
            <w:bookmarkEnd w:id="69"/>
            <w:bookmarkEnd w:id="70"/>
            <w:bookmarkEnd w:id="71"/>
            <w:bookmarkEnd w:id="72"/>
            <w:bookmarkEnd w:id="73"/>
            <w:bookmarkEnd w:id="74"/>
            <w:bookmarkEnd w:id="75"/>
          </w:p>
        </w:tc>
        <w:tc>
          <w:tcPr>
            <w:tcW w:w="1467" w:type="dxa"/>
            <w:noWrap w:val="0"/>
            <w:vAlign w:val="center"/>
          </w:tcPr>
          <w:p>
            <w:pPr>
              <w:pStyle w:val="13"/>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76" w:name="_Toc373333692"/>
            <w:bookmarkStart w:id="77" w:name="_Toc297193188"/>
            <w:bookmarkStart w:id="78" w:name="_Toc295404984"/>
            <w:bookmarkStart w:id="79" w:name="_Toc383699909"/>
            <w:bookmarkStart w:id="80" w:name="_Toc254970591"/>
            <w:bookmarkStart w:id="81" w:name="_Toc173211903"/>
            <w:bookmarkStart w:id="82" w:name="_Toc173066404"/>
            <w:bookmarkStart w:id="83" w:name="_Toc254970732"/>
            <w:bookmarkStart w:id="84" w:name="_Toc301781614"/>
            <w:r>
              <w:rPr>
                <w:rFonts w:hint="eastAsia" w:ascii="宋体" w:hAnsi="宋体" w:eastAsia="宋体" w:cs="仿宋_GB2312"/>
                <w:color w:val="auto"/>
                <w:kern w:val="2"/>
                <w:sz w:val="24"/>
                <w:szCs w:val="24"/>
                <w:highlight w:val="none"/>
              </w:rPr>
              <w:t>偏离</w:t>
            </w:r>
            <w:bookmarkEnd w:id="76"/>
            <w:bookmarkEnd w:id="77"/>
            <w:bookmarkEnd w:id="78"/>
            <w:bookmarkEnd w:id="79"/>
            <w:bookmarkEnd w:id="80"/>
            <w:bookmarkEnd w:id="81"/>
            <w:bookmarkEnd w:id="82"/>
            <w:bookmarkEnd w:id="83"/>
            <w:bookmarkEnd w:id="84"/>
            <w:bookmarkStart w:id="85" w:name="_Toc373333693"/>
            <w:bookmarkStart w:id="86" w:name="_Toc383699910"/>
            <w:bookmarkStart w:id="87" w:name="_Toc297193189"/>
            <w:bookmarkStart w:id="88" w:name="_Toc254970592"/>
            <w:bookmarkStart w:id="89" w:name="_Toc301781615"/>
            <w:bookmarkStart w:id="90" w:name="_Toc173066405"/>
            <w:bookmarkStart w:id="91" w:name="_Toc254970733"/>
            <w:bookmarkStart w:id="92" w:name="_Toc295404985"/>
            <w:bookmarkStart w:id="93" w:name="_Toc173211904"/>
            <w:r>
              <w:rPr>
                <w:rFonts w:hint="eastAsia" w:ascii="宋体" w:hAnsi="宋体" w:eastAsia="宋体" w:cs="仿宋_GB2312"/>
                <w:color w:val="auto"/>
                <w:kern w:val="2"/>
                <w:sz w:val="24"/>
                <w:szCs w:val="24"/>
                <w:highlight w:val="none"/>
              </w:rPr>
              <w:t>说明</w:t>
            </w:r>
            <w:bookmarkEnd w:id="85"/>
            <w:bookmarkEnd w:id="86"/>
            <w:bookmarkEnd w:id="87"/>
            <w:bookmarkEnd w:id="88"/>
            <w:bookmarkEnd w:id="89"/>
            <w:bookmarkEnd w:id="90"/>
            <w:bookmarkEnd w:id="91"/>
            <w:bookmarkEnd w:id="92"/>
            <w:bookmarkEnd w:id="93"/>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899" w:type="dxa"/>
            <w:noWrap w:val="0"/>
            <w:vAlign w:val="center"/>
          </w:tcPr>
          <w:p>
            <w:pPr>
              <w:pStyle w:val="13"/>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94" w:name="_Toc295404986"/>
            <w:bookmarkStart w:id="95" w:name="_Toc173066406"/>
            <w:bookmarkStart w:id="96" w:name="_Toc383699911"/>
            <w:bookmarkStart w:id="97" w:name="_Toc297193190"/>
            <w:bookmarkStart w:id="98" w:name="_Toc173211905"/>
            <w:bookmarkStart w:id="99" w:name="_Toc254970593"/>
            <w:bookmarkStart w:id="100" w:name="_Toc373333694"/>
            <w:bookmarkStart w:id="101" w:name="_Toc301781616"/>
            <w:bookmarkStart w:id="102" w:name="_Toc254970734"/>
            <w:r>
              <w:rPr>
                <w:rFonts w:hint="eastAsia" w:ascii="宋体" w:hAnsi="宋体" w:eastAsia="宋体" w:cs="仿宋_GB2312"/>
                <w:color w:val="auto"/>
                <w:kern w:val="2"/>
                <w:sz w:val="24"/>
                <w:szCs w:val="24"/>
                <w:highlight w:val="none"/>
              </w:rPr>
              <w:t>1</w:t>
            </w:r>
            <w:bookmarkEnd w:id="94"/>
            <w:bookmarkEnd w:id="95"/>
            <w:bookmarkEnd w:id="96"/>
            <w:bookmarkEnd w:id="97"/>
            <w:bookmarkEnd w:id="98"/>
            <w:bookmarkEnd w:id="99"/>
            <w:bookmarkEnd w:id="100"/>
            <w:bookmarkEnd w:id="101"/>
            <w:bookmarkEnd w:id="102"/>
          </w:p>
        </w:tc>
        <w:tc>
          <w:tcPr>
            <w:tcW w:w="899" w:type="dxa"/>
            <w:tcBorders>
              <w:right w:val="single" w:color="auto" w:sz="4" w:space="0"/>
            </w:tcBorders>
            <w:noWrap w:val="0"/>
            <w:vAlign w:val="center"/>
          </w:tcPr>
          <w:p>
            <w:pPr>
              <w:pStyle w:val="13"/>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986" w:type="dxa"/>
            <w:tcBorders>
              <w:left w:val="single" w:color="auto" w:sz="4" w:space="0"/>
            </w:tcBorders>
            <w:noWrap w:val="0"/>
            <w:vAlign w:val="center"/>
          </w:tcPr>
          <w:p>
            <w:pPr>
              <w:pStyle w:val="13"/>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688" w:type="dxa"/>
            <w:noWrap w:val="0"/>
            <w:vAlign w:val="center"/>
          </w:tcPr>
          <w:p>
            <w:pPr>
              <w:pStyle w:val="13"/>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467" w:type="dxa"/>
            <w:noWrap w:val="0"/>
            <w:vAlign w:val="center"/>
          </w:tcPr>
          <w:p>
            <w:pPr>
              <w:pStyle w:val="13"/>
              <w:spacing w:line="360" w:lineRule="auto"/>
              <w:ind w:firstLine="0" w:firstLineChars="0"/>
              <w:contextualSpacing/>
              <w:jc w:val="center"/>
              <w:rPr>
                <w:rFonts w:hint="eastAsia" w:ascii="宋体" w:hAnsi="宋体" w:eastAsia="宋体" w:cs="仿宋_GB2312"/>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899" w:type="dxa"/>
            <w:noWrap w:val="0"/>
            <w:vAlign w:val="center"/>
          </w:tcPr>
          <w:p>
            <w:pPr>
              <w:pStyle w:val="13"/>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03" w:name="_Toc254970594"/>
            <w:bookmarkStart w:id="104" w:name="_Toc295404987"/>
            <w:bookmarkStart w:id="105" w:name="_Toc173211906"/>
            <w:bookmarkStart w:id="106" w:name="_Toc254970735"/>
            <w:bookmarkStart w:id="107" w:name="_Toc301781617"/>
            <w:bookmarkStart w:id="108" w:name="_Toc173066407"/>
            <w:bookmarkStart w:id="109" w:name="_Toc383699912"/>
            <w:bookmarkStart w:id="110" w:name="_Toc373333695"/>
            <w:bookmarkStart w:id="111" w:name="_Toc297193191"/>
            <w:r>
              <w:rPr>
                <w:rFonts w:hint="eastAsia" w:ascii="宋体" w:hAnsi="宋体" w:eastAsia="宋体" w:cs="仿宋_GB2312"/>
                <w:color w:val="auto"/>
                <w:kern w:val="2"/>
                <w:sz w:val="24"/>
                <w:szCs w:val="24"/>
                <w:highlight w:val="none"/>
              </w:rPr>
              <w:t>2</w:t>
            </w:r>
            <w:bookmarkEnd w:id="103"/>
            <w:bookmarkEnd w:id="104"/>
            <w:bookmarkEnd w:id="105"/>
            <w:bookmarkEnd w:id="106"/>
            <w:bookmarkEnd w:id="107"/>
            <w:bookmarkEnd w:id="108"/>
            <w:bookmarkEnd w:id="109"/>
            <w:bookmarkEnd w:id="110"/>
            <w:bookmarkEnd w:id="111"/>
          </w:p>
        </w:tc>
        <w:tc>
          <w:tcPr>
            <w:tcW w:w="899" w:type="dxa"/>
            <w:tcBorders>
              <w:right w:val="single" w:color="auto" w:sz="4" w:space="0"/>
            </w:tcBorders>
            <w:noWrap w:val="0"/>
            <w:vAlign w:val="center"/>
          </w:tcPr>
          <w:p>
            <w:pPr>
              <w:pStyle w:val="13"/>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986" w:type="dxa"/>
            <w:tcBorders>
              <w:left w:val="single" w:color="auto" w:sz="4" w:space="0"/>
            </w:tcBorders>
            <w:noWrap w:val="0"/>
            <w:vAlign w:val="center"/>
          </w:tcPr>
          <w:p>
            <w:pPr>
              <w:pStyle w:val="13"/>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688" w:type="dxa"/>
            <w:noWrap w:val="0"/>
            <w:vAlign w:val="center"/>
          </w:tcPr>
          <w:p>
            <w:pPr>
              <w:pStyle w:val="13"/>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467" w:type="dxa"/>
            <w:noWrap w:val="0"/>
            <w:vAlign w:val="center"/>
          </w:tcPr>
          <w:p>
            <w:pPr>
              <w:pStyle w:val="13"/>
              <w:spacing w:line="360" w:lineRule="auto"/>
              <w:ind w:firstLine="0" w:firstLineChars="0"/>
              <w:contextualSpacing/>
              <w:jc w:val="center"/>
              <w:rPr>
                <w:rFonts w:hint="eastAsia" w:ascii="宋体" w:hAnsi="宋体" w:eastAsia="宋体" w:cs="仿宋_GB2312"/>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899" w:type="dxa"/>
            <w:noWrap w:val="0"/>
            <w:vAlign w:val="center"/>
          </w:tcPr>
          <w:p>
            <w:pPr>
              <w:pStyle w:val="13"/>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12" w:name="_Toc173211907"/>
            <w:bookmarkStart w:id="113" w:name="_Toc295404988"/>
            <w:bookmarkStart w:id="114" w:name="_Toc254970736"/>
            <w:bookmarkStart w:id="115" w:name="_Toc373333696"/>
            <w:bookmarkStart w:id="116" w:name="_Toc254970595"/>
            <w:bookmarkStart w:id="117" w:name="_Toc297193192"/>
            <w:bookmarkStart w:id="118" w:name="_Toc383699913"/>
            <w:bookmarkStart w:id="119" w:name="_Toc173066408"/>
            <w:bookmarkStart w:id="120" w:name="_Toc301781618"/>
            <w:r>
              <w:rPr>
                <w:rFonts w:hint="eastAsia" w:ascii="宋体" w:hAnsi="宋体" w:eastAsia="宋体" w:cs="仿宋_GB2312"/>
                <w:color w:val="auto"/>
                <w:kern w:val="2"/>
                <w:sz w:val="24"/>
                <w:szCs w:val="24"/>
                <w:highlight w:val="none"/>
              </w:rPr>
              <w:t>3</w:t>
            </w:r>
            <w:bookmarkEnd w:id="112"/>
            <w:bookmarkEnd w:id="113"/>
            <w:bookmarkEnd w:id="114"/>
            <w:bookmarkEnd w:id="115"/>
            <w:bookmarkEnd w:id="116"/>
            <w:bookmarkEnd w:id="117"/>
            <w:bookmarkEnd w:id="118"/>
            <w:bookmarkEnd w:id="119"/>
            <w:bookmarkEnd w:id="120"/>
          </w:p>
        </w:tc>
        <w:tc>
          <w:tcPr>
            <w:tcW w:w="899" w:type="dxa"/>
            <w:tcBorders>
              <w:right w:val="single" w:color="auto" w:sz="4" w:space="0"/>
            </w:tcBorders>
            <w:noWrap w:val="0"/>
            <w:vAlign w:val="center"/>
          </w:tcPr>
          <w:p>
            <w:pPr>
              <w:pStyle w:val="13"/>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986" w:type="dxa"/>
            <w:tcBorders>
              <w:left w:val="single" w:color="auto" w:sz="4" w:space="0"/>
            </w:tcBorders>
            <w:noWrap w:val="0"/>
            <w:vAlign w:val="center"/>
          </w:tcPr>
          <w:p>
            <w:pPr>
              <w:pStyle w:val="13"/>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688" w:type="dxa"/>
            <w:noWrap w:val="0"/>
            <w:vAlign w:val="center"/>
          </w:tcPr>
          <w:p>
            <w:pPr>
              <w:pStyle w:val="13"/>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467" w:type="dxa"/>
            <w:noWrap w:val="0"/>
            <w:vAlign w:val="center"/>
          </w:tcPr>
          <w:p>
            <w:pPr>
              <w:pStyle w:val="13"/>
              <w:spacing w:line="360" w:lineRule="auto"/>
              <w:ind w:firstLine="0" w:firstLineChars="0"/>
              <w:contextualSpacing/>
              <w:jc w:val="center"/>
              <w:rPr>
                <w:rFonts w:hint="eastAsia" w:ascii="宋体" w:hAnsi="宋体" w:eastAsia="宋体" w:cs="仿宋_GB2312"/>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899" w:type="dxa"/>
            <w:noWrap w:val="0"/>
            <w:vAlign w:val="center"/>
          </w:tcPr>
          <w:p>
            <w:pPr>
              <w:pStyle w:val="13"/>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21" w:name="_Toc173211908"/>
            <w:bookmarkStart w:id="122" w:name="_Toc297193193"/>
            <w:bookmarkStart w:id="123" w:name="_Toc254970737"/>
            <w:bookmarkStart w:id="124" w:name="_Toc295404989"/>
            <w:bookmarkStart w:id="125" w:name="_Toc373333697"/>
            <w:bookmarkStart w:id="126" w:name="_Toc301781619"/>
            <w:bookmarkStart w:id="127" w:name="_Toc254970596"/>
            <w:bookmarkStart w:id="128" w:name="_Toc173066409"/>
            <w:bookmarkStart w:id="129" w:name="_Toc383699914"/>
            <w:r>
              <w:rPr>
                <w:rFonts w:hint="eastAsia" w:ascii="宋体" w:hAnsi="宋体" w:eastAsia="宋体" w:cs="仿宋_GB2312"/>
                <w:color w:val="auto"/>
                <w:kern w:val="2"/>
                <w:sz w:val="24"/>
                <w:szCs w:val="24"/>
                <w:highlight w:val="none"/>
              </w:rPr>
              <w:t>4</w:t>
            </w:r>
            <w:bookmarkEnd w:id="121"/>
            <w:bookmarkEnd w:id="122"/>
            <w:bookmarkEnd w:id="123"/>
            <w:bookmarkEnd w:id="124"/>
            <w:bookmarkEnd w:id="125"/>
            <w:bookmarkEnd w:id="126"/>
            <w:bookmarkEnd w:id="127"/>
            <w:bookmarkEnd w:id="128"/>
            <w:bookmarkEnd w:id="129"/>
          </w:p>
        </w:tc>
        <w:tc>
          <w:tcPr>
            <w:tcW w:w="899" w:type="dxa"/>
            <w:tcBorders>
              <w:right w:val="single" w:color="auto" w:sz="4" w:space="0"/>
            </w:tcBorders>
            <w:noWrap w:val="0"/>
            <w:vAlign w:val="center"/>
          </w:tcPr>
          <w:p>
            <w:pPr>
              <w:pStyle w:val="13"/>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986" w:type="dxa"/>
            <w:tcBorders>
              <w:left w:val="single" w:color="auto" w:sz="4" w:space="0"/>
            </w:tcBorders>
            <w:noWrap w:val="0"/>
            <w:vAlign w:val="center"/>
          </w:tcPr>
          <w:p>
            <w:pPr>
              <w:pStyle w:val="13"/>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688" w:type="dxa"/>
            <w:noWrap w:val="0"/>
            <w:vAlign w:val="center"/>
          </w:tcPr>
          <w:p>
            <w:pPr>
              <w:pStyle w:val="13"/>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467" w:type="dxa"/>
            <w:noWrap w:val="0"/>
            <w:vAlign w:val="center"/>
          </w:tcPr>
          <w:p>
            <w:pPr>
              <w:pStyle w:val="13"/>
              <w:spacing w:line="360" w:lineRule="auto"/>
              <w:ind w:firstLine="0" w:firstLineChars="0"/>
              <w:contextualSpacing/>
              <w:jc w:val="center"/>
              <w:rPr>
                <w:rFonts w:hint="eastAsia" w:ascii="宋体" w:hAnsi="宋体" w:eastAsia="宋体" w:cs="仿宋_GB2312"/>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899" w:type="dxa"/>
            <w:noWrap w:val="0"/>
            <w:vAlign w:val="center"/>
          </w:tcPr>
          <w:p>
            <w:pPr>
              <w:pStyle w:val="13"/>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30" w:name="_Toc254970738"/>
            <w:bookmarkStart w:id="131" w:name="_Toc383699915"/>
            <w:bookmarkStart w:id="132" w:name="_Toc173066410"/>
            <w:bookmarkStart w:id="133" w:name="_Toc254970597"/>
            <w:bookmarkStart w:id="134" w:name="_Toc295404990"/>
            <w:bookmarkStart w:id="135" w:name="_Toc301781620"/>
            <w:bookmarkStart w:id="136" w:name="_Toc297193194"/>
            <w:bookmarkStart w:id="137" w:name="_Toc373333698"/>
            <w:bookmarkStart w:id="138" w:name="_Toc173211909"/>
            <w:r>
              <w:rPr>
                <w:rFonts w:hint="eastAsia" w:ascii="宋体" w:hAnsi="宋体" w:eastAsia="宋体" w:cs="仿宋_GB2312"/>
                <w:color w:val="auto"/>
                <w:kern w:val="2"/>
                <w:sz w:val="24"/>
                <w:szCs w:val="24"/>
                <w:highlight w:val="none"/>
              </w:rPr>
              <w:t>5</w:t>
            </w:r>
            <w:bookmarkEnd w:id="130"/>
            <w:bookmarkEnd w:id="131"/>
            <w:bookmarkEnd w:id="132"/>
            <w:bookmarkEnd w:id="133"/>
            <w:bookmarkEnd w:id="134"/>
            <w:bookmarkEnd w:id="135"/>
            <w:bookmarkEnd w:id="136"/>
            <w:bookmarkEnd w:id="137"/>
            <w:bookmarkEnd w:id="138"/>
          </w:p>
        </w:tc>
        <w:tc>
          <w:tcPr>
            <w:tcW w:w="899" w:type="dxa"/>
            <w:tcBorders>
              <w:right w:val="single" w:color="auto" w:sz="4" w:space="0"/>
            </w:tcBorders>
            <w:noWrap w:val="0"/>
            <w:vAlign w:val="center"/>
          </w:tcPr>
          <w:p>
            <w:pPr>
              <w:pStyle w:val="13"/>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986" w:type="dxa"/>
            <w:tcBorders>
              <w:left w:val="single" w:color="auto" w:sz="4" w:space="0"/>
            </w:tcBorders>
            <w:noWrap w:val="0"/>
            <w:vAlign w:val="center"/>
          </w:tcPr>
          <w:p>
            <w:pPr>
              <w:pStyle w:val="13"/>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688" w:type="dxa"/>
            <w:noWrap w:val="0"/>
            <w:vAlign w:val="center"/>
          </w:tcPr>
          <w:p>
            <w:pPr>
              <w:pStyle w:val="13"/>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467" w:type="dxa"/>
            <w:noWrap w:val="0"/>
            <w:vAlign w:val="center"/>
          </w:tcPr>
          <w:p>
            <w:pPr>
              <w:pStyle w:val="13"/>
              <w:spacing w:line="360" w:lineRule="auto"/>
              <w:ind w:firstLine="0" w:firstLineChars="0"/>
              <w:contextualSpacing/>
              <w:jc w:val="center"/>
              <w:rPr>
                <w:rFonts w:hint="eastAsia" w:ascii="宋体" w:hAnsi="宋体" w:eastAsia="宋体" w:cs="仿宋_GB2312"/>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899" w:type="dxa"/>
            <w:noWrap w:val="0"/>
            <w:vAlign w:val="center"/>
          </w:tcPr>
          <w:p>
            <w:pPr>
              <w:pStyle w:val="13"/>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39" w:name="_Toc173211914"/>
            <w:bookmarkStart w:id="140" w:name="_Toc173066415"/>
            <w:bookmarkStart w:id="141" w:name="_Toc373333699"/>
            <w:bookmarkStart w:id="142" w:name="_Toc383699916"/>
            <w:bookmarkStart w:id="143" w:name="_Toc254970743"/>
            <w:bookmarkStart w:id="144" w:name="_Toc254970602"/>
            <w:bookmarkStart w:id="145" w:name="_Toc295404991"/>
            <w:bookmarkStart w:id="146" w:name="_Toc297193195"/>
            <w:bookmarkStart w:id="147" w:name="_Toc301781621"/>
            <w:r>
              <w:rPr>
                <w:rFonts w:hint="eastAsia" w:ascii="宋体" w:hAnsi="宋体" w:eastAsia="宋体" w:cs="仿宋_GB2312"/>
                <w:color w:val="auto"/>
                <w:kern w:val="2"/>
                <w:sz w:val="24"/>
                <w:szCs w:val="24"/>
                <w:highlight w:val="none"/>
              </w:rPr>
              <w:t>…</w:t>
            </w:r>
            <w:bookmarkEnd w:id="139"/>
            <w:bookmarkEnd w:id="140"/>
            <w:bookmarkEnd w:id="141"/>
            <w:bookmarkEnd w:id="142"/>
            <w:bookmarkEnd w:id="143"/>
            <w:bookmarkEnd w:id="144"/>
            <w:bookmarkEnd w:id="145"/>
            <w:bookmarkEnd w:id="146"/>
            <w:bookmarkEnd w:id="147"/>
          </w:p>
        </w:tc>
        <w:tc>
          <w:tcPr>
            <w:tcW w:w="899" w:type="dxa"/>
            <w:tcBorders>
              <w:right w:val="single" w:color="auto" w:sz="4" w:space="0"/>
            </w:tcBorders>
            <w:noWrap w:val="0"/>
            <w:vAlign w:val="center"/>
          </w:tcPr>
          <w:p>
            <w:pPr>
              <w:pStyle w:val="13"/>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986" w:type="dxa"/>
            <w:tcBorders>
              <w:left w:val="single" w:color="auto" w:sz="4" w:space="0"/>
            </w:tcBorders>
            <w:noWrap w:val="0"/>
            <w:vAlign w:val="center"/>
          </w:tcPr>
          <w:p>
            <w:pPr>
              <w:pStyle w:val="13"/>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688" w:type="dxa"/>
            <w:noWrap w:val="0"/>
            <w:vAlign w:val="center"/>
          </w:tcPr>
          <w:p>
            <w:pPr>
              <w:pStyle w:val="13"/>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467" w:type="dxa"/>
            <w:tcBorders>
              <w:right w:val="single" w:color="auto" w:sz="4" w:space="0"/>
            </w:tcBorders>
            <w:noWrap w:val="0"/>
            <w:vAlign w:val="center"/>
          </w:tcPr>
          <w:p>
            <w:pPr>
              <w:pStyle w:val="13"/>
              <w:spacing w:line="360" w:lineRule="auto"/>
              <w:ind w:firstLine="0" w:firstLineChars="0"/>
              <w:contextualSpacing/>
              <w:jc w:val="center"/>
              <w:rPr>
                <w:rFonts w:hint="eastAsia" w:ascii="宋体" w:hAnsi="宋体" w:eastAsia="宋体" w:cs="仿宋_GB2312"/>
                <w:color w:val="auto"/>
                <w:kern w:val="2"/>
                <w:sz w:val="24"/>
                <w:szCs w:val="24"/>
                <w:highlight w:val="none"/>
              </w:rPr>
            </w:pPr>
          </w:p>
        </w:tc>
      </w:tr>
    </w:tbl>
    <w:p>
      <w:pPr>
        <w:adjustRightInd w:val="0"/>
        <w:spacing w:line="360" w:lineRule="auto"/>
        <w:contextualSpacing/>
        <w:rPr>
          <w:rFonts w:hint="eastAsia" w:ascii="宋体" w:hAnsi="宋体" w:cs="仿宋_GB2312"/>
          <w:color w:val="auto"/>
          <w:sz w:val="24"/>
          <w:highlight w:val="none"/>
        </w:rPr>
      </w:pPr>
    </w:p>
    <w:p>
      <w:pPr>
        <w:pStyle w:val="13"/>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pPr>
        <w:pStyle w:val="13"/>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说明：应对照磋商文件“第三章 采购需求”中的技术要求逐条作出明确响应，并作出偏离说明。</w:t>
      </w:r>
    </w:p>
    <w:p>
      <w:pPr>
        <w:pStyle w:val="13"/>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p>
    <w:p>
      <w:pPr>
        <w:spacing w:line="360" w:lineRule="auto"/>
        <w:ind w:right="-817" w:rightChars="-389"/>
        <w:contextualSpacing/>
        <w:rPr>
          <w:rFonts w:hint="eastAsia" w:ascii="宋体" w:hAnsi="宋体" w:cs="仿宋_GB2312"/>
          <w:color w:val="auto"/>
          <w:sz w:val="24"/>
          <w:highlight w:val="none"/>
        </w:rPr>
      </w:pPr>
    </w:p>
    <w:p>
      <w:pPr>
        <w:spacing w:line="360" w:lineRule="auto"/>
        <w:ind w:right="-817" w:rightChars="-389" w:firstLine="2880" w:firstLineChars="12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color w:val="auto"/>
          <w:sz w:val="24"/>
          <w:highlight w:val="none"/>
        </w:rPr>
        <w:t>（盖章/</w:t>
      </w:r>
      <w:r>
        <w:rPr>
          <w:rFonts w:hint="eastAsia" w:ascii="宋体" w:hAnsi="宋体"/>
          <w:color w:val="auto"/>
          <w:sz w:val="24"/>
          <w:highlight w:val="none"/>
          <w:lang w:eastAsia="zh-CN"/>
        </w:rPr>
        <w:t>签名</w:t>
      </w:r>
      <w:r>
        <w:rPr>
          <w:rFonts w:hint="eastAsia" w:ascii="宋体" w:hAnsi="宋体"/>
          <w:color w:val="auto"/>
          <w:sz w:val="24"/>
          <w:highlight w:val="none"/>
        </w:rPr>
        <w:t>）</w:t>
      </w:r>
      <w:r>
        <w:rPr>
          <w:rFonts w:hint="eastAsia" w:ascii="宋体" w:hAnsi="宋体" w:cs="仿宋_GB2312"/>
          <w:color w:val="auto"/>
          <w:sz w:val="24"/>
          <w:highlight w:val="none"/>
        </w:rPr>
        <w:t xml:space="preserve">：      </w:t>
      </w:r>
    </w:p>
    <w:p>
      <w:pPr>
        <w:pStyle w:val="2"/>
        <w:ind w:firstLine="780" w:firstLineChars="300"/>
        <w:rPr>
          <w:rFonts w:hint="eastAsia"/>
          <w:color w:val="auto"/>
          <w:highlight w:val="none"/>
        </w:rPr>
      </w:pPr>
      <w:r>
        <w:rPr>
          <w:rFonts w:hint="eastAsia" w:ascii="宋体" w:hAnsi="宋体"/>
          <w:color w:val="auto"/>
          <w:sz w:val="24"/>
          <w:highlight w:val="none"/>
        </w:rPr>
        <w:t>法定代表人/负责人（或委托代理人）：</w:t>
      </w:r>
    </w:p>
    <w:p>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pPr>
        <w:spacing w:line="360" w:lineRule="auto"/>
        <w:ind w:right="-817" w:rightChars="-389" w:firstLine="4080" w:firstLineChars="1700"/>
        <w:contextualSpacing/>
        <w:rPr>
          <w:rFonts w:hint="eastAsia" w:ascii="宋体" w:hAnsi="宋体" w:cs="仿宋_GB2312"/>
          <w:color w:val="auto"/>
          <w:sz w:val="24"/>
          <w:highlight w:val="none"/>
        </w:rPr>
      </w:pPr>
    </w:p>
    <w:p>
      <w:pPr>
        <w:spacing w:line="360" w:lineRule="auto"/>
        <w:ind w:right="-817" w:rightChars="-389" w:firstLine="6240" w:firstLineChars="2600"/>
        <w:contextualSpacing/>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pPr>
        <w:spacing w:line="360" w:lineRule="auto"/>
        <w:ind w:left="142"/>
        <w:contextualSpacing/>
        <w:jc w:val="center"/>
        <w:rPr>
          <w:rFonts w:hint="eastAsia" w:ascii="宋体" w:hAnsi="宋体"/>
          <w:b/>
          <w:color w:val="auto"/>
          <w:sz w:val="32"/>
          <w:szCs w:val="32"/>
          <w:highlight w:val="none"/>
        </w:rPr>
      </w:pPr>
      <w:r>
        <w:rPr>
          <w:rFonts w:ascii="宋体" w:hAnsi="宋体" w:cs="仿宋_GB2312"/>
          <w:color w:val="auto"/>
          <w:sz w:val="24"/>
          <w:highlight w:val="none"/>
        </w:rPr>
        <w:br w:type="page"/>
      </w:r>
      <w:r>
        <w:rPr>
          <w:rFonts w:hint="eastAsia" w:ascii="方正小标宋简体" w:hAnsi="方正小标宋简体" w:eastAsia="方正小标宋简体" w:cs="方正小标宋简体"/>
          <w:b w:val="0"/>
          <w:bCs/>
          <w:color w:val="auto"/>
          <w:sz w:val="44"/>
          <w:szCs w:val="44"/>
          <w:highlight w:val="none"/>
        </w:rPr>
        <w:t>项目实施人员一览表</w:t>
      </w:r>
    </w:p>
    <w:p>
      <w:pPr>
        <w:spacing w:line="360" w:lineRule="auto"/>
        <w:ind w:left="142"/>
        <w:contextualSpacing/>
        <w:jc w:val="left"/>
        <w:rPr>
          <w:rFonts w:hint="eastAsia" w:ascii="宋体" w:hAnsi="宋体"/>
          <w:b/>
          <w:color w:val="auto"/>
          <w:sz w:val="32"/>
          <w:szCs w:val="32"/>
          <w:highlight w:val="none"/>
        </w:rPr>
      </w:pPr>
      <w:r>
        <w:rPr>
          <w:rFonts w:hint="eastAsia"/>
          <w:color w:val="auto"/>
          <w:sz w:val="24"/>
          <w:szCs w:val="24"/>
          <w:highlight w:val="none"/>
        </w:rPr>
        <w:t>所竞分标</w:t>
      </w:r>
      <w:r>
        <w:rPr>
          <w:rFonts w:hint="eastAsia"/>
          <w:color w:val="auto"/>
          <w:sz w:val="24"/>
          <w:szCs w:val="24"/>
          <w:highlight w:val="none"/>
          <w:lang w:eastAsia="zh-CN"/>
        </w:rPr>
        <w:t>（如有）</w:t>
      </w:r>
      <w:r>
        <w:rPr>
          <w:rFonts w:hint="eastAsia"/>
          <w:color w:val="auto"/>
          <w:sz w:val="24"/>
          <w:szCs w:val="24"/>
          <w:highlight w:val="none"/>
        </w:rPr>
        <w:t>：</w:t>
      </w:r>
      <w:r>
        <w:rPr>
          <w:rFonts w:hint="eastAsia"/>
          <w:color w:val="auto"/>
          <w:sz w:val="24"/>
          <w:szCs w:val="24"/>
          <w:highlight w:val="none"/>
          <w:u w:val="single"/>
        </w:rPr>
        <w:t xml:space="preserve">     </w:t>
      </w:r>
      <w:r>
        <w:rPr>
          <w:rFonts w:hint="eastAsia"/>
          <w:color w:val="auto"/>
          <w:sz w:val="24"/>
          <w:szCs w:val="24"/>
          <w:highlight w:val="none"/>
        </w:rPr>
        <w:t>分标</w:t>
      </w:r>
    </w:p>
    <w:tbl>
      <w:tblPr>
        <w:tblStyle w:val="26"/>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center"/>
          </w:tcPr>
          <w:p>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姓名</w:t>
            </w:r>
          </w:p>
        </w:tc>
        <w:tc>
          <w:tcPr>
            <w:tcW w:w="709" w:type="dxa"/>
            <w:noWrap w:val="0"/>
            <w:vAlign w:val="center"/>
          </w:tcPr>
          <w:p>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职务</w:t>
            </w:r>
          </w:p>
        </w:tc>
        <w:tc>
          <w:tcPr>
            <w:tcW w:w="1701" w:type="dxa"/>
            <w:noWrap w:val="0"/>
            <w:vAlign w:val="center"/>
          </w:tcPr>
          <w:p>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noWrap w:val="0"/>
            <w:vAlign w:val="center"/>
          </w:tcPr>
          <w:p>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证书编号</w:t>
            </w:r>
          </w:p>
        </w:tc>
        <w:tc>
          <w:tcPr>
            <w:tcW w:w="1698" w:type="dxa"/>
            <w:noWrap w:val="0"/>
            <w:vAlign w:val="center"/>
          </w:tcPr>
          <w:p>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参加本单位</w:t>
            </w:r>
          </w:p>
          <w:p>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工作时间</w:t>
            </w:r>
          </w:p>
        </w:tc>
        <w:tc>
          <w:tcPr>
            <w:tcW w:w="1843" w:type="dxa"/>
            <w:noWrap w:val="0"/>
            <w:vAlign w:val="center"/>
          </w:tcPr>
          <w:p>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center"/>
          </w:tcPr>
          <w:p>
            <w:pPr>
              <w:spacing w:line="360" w:lineRule="auto"/>
              <w:contextualSpacing/>
              <w:jc w:val="center"/>
              <w:rPr>
                <w:rFonts w:hint="eastAsia" w:ascii="宋体" w:hAnsi="宋体"/>
                <w:color w:val="auto"/>
                <w:sz w:val="24"/>
                <w:szCs w:val="20"/>
                <w:highlight w:val="none"/>
              </w:rPr>
            </w:pPr>
          </w:p>
        </w:tc>
        <w:tc>
          <w:tcPr>
            <w:tcW w:w="709" w:type="dxa"/>
            <w:noWrap w:val="0"/>
            <w:vAlign w:val="center"/>
          </w:tcPr>
          <w:p>
            <w:pPr>
              <w:spacing w:line="360" w:lineRule="auto"/>
              <w:contextualSpacing/>
              <w:jc w:val="center"/>
              <w:rPr>
                <w:rFonts w:hint="eastAsia" w:ascii="宋体" w:hAnsi="宋体"/>
                <w:color w:val="auto"/>
                <w:sz w:val="24"/>
                <w:szCs w:val="20"/>
                <w:highlight w:val="none"/>
              </w:rPr>
            </w:pPr>
          </w:p>
        </w:tc>
        <w:tc>
          <w:tcPr>
            <w:tcW w:w="1701" w:type="dxa"/>
            <w:noWrap w:val="0"/>
            <w:vAlign w:val="center"/>
          </w:tcPr>
          <w:p>
            <w:pPr>
              <w:spacing w:line="360" w:lineRule="auto"/>
              <w:contextualSpacing/>
              <w:jc w:val="center"/>
              <w:rPr>
                <w:rFonts w:hint="eastAsia" w:ascii="宋体" w:hAnsi="宋体"/>
                <w:color w:val="auto"/>
                <w:sz w:val="24"/>
                <w:szCs w:val="20"/>
                <w:highlight w:val="none"/>
              </w:rPr>
            </w:pPr>
          </w:p>
        </w:tc>
        <w:tc>
          <w:tcPr>
            <w:tcW w:w="1420" w:type="dxa"/>
            <w:noWrap w:val="0"/>
            <w:vAlign w:val="center"/>
          </w:tcPr>
          <w:p>
            <w:pPr>
              <w:spacing w:line="360" w:lineRule="auto"/>
              <w:contextualSpacing/>
              <w:jc w:val="center"/>
              <w:rPr>
                <w:rFonts w:hint="eastAsia" w:ascii="宋体" w:hAnsi="宋体"/>
                <w:color w:val="auto"/>
                <w:sz w:val="24"/>
                <w:szCs w:val="20"/>
                <w:highlight w:val="none"/>
              </w:rPr>
            </w:pPr>
          </w:p>
        </w:tc>
        <w:tc>
          <w:tcPr>
            <w:tcW w:w="1698" w:type="dxa"/>
            <w:noWrap w:val="0"/>
            <w:vAlign w:val="center"/>
          </w:tcPr>
          <w:p>
            <w:pPr>
              <w:spacing w:line="360" w:lineRule="auto"/>
              <w:contextualSpacing/>
              <w:jc w:val="center"/>
              <w:rPr>
                <w:rFonts w:hint="eastAsia" w:ascii="宋体" w:hAnsi="宋体"/>
                <w:color w:val="auto"/>
                <w:sz w:val="24"/>
                <w:szCs w:val="20"/>
                <w:highlight w:val="none"/>
              </w:rPr>
            </w:pPr>
          </w:p>
        </w:tc>
        <w:tc>
          <w:tcPr>
            <w:tcW w:w="1843" w:type="dxa"/>
            <w:noWrap w:val="0"/>
            <w:vAlign w:val="center"/>
          </w:tcPr>
          <w:p>
            <w:pPr>
              <w:spacing w:line="360" w:lineRule="auto"/>
              <w:contextualSpacing/>
              <w:jc w:val="center"/>
              <w:rPr>
                <w:rFonts w:hint="eastAsia"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center"/>
          </w:tcPr>
          <w:p>
            <w:pPr>
              <w:spacing w:line="360" w:lineRule="auto"/>
              <w:contextualSpacing/>
              <w:jc w:val="center"/>
              <w:rPr>
                <w:rFonts w:hint="eastAsia" w:ascii="宋体" w:hAnsi="宋体"/>
                <w:color w:val="auto"/>
                <w:sz w:val="24"/>
                <w:szCs w:val="20"/>
                <w:highlight w:val="none"/>
              </w:rPr>
            </w:pPr>
          </w:p>
        </w:tc>
        <w:tc>
          <w:tcPr>
            <w:tcW w:w="709" w:type="dxa"/>
            <w:noWrap w:val="0"/>
            <w:vAlign w:val="center"/>
          </w:tcPr>
          <w:p>
            <w:pPr>
              <w:spacing w:line="360" w:lineRule="auto"/>
              <w:contextualSpacing/>
              <w:jc w:val="center"/>
              <w:rPr>
                <w:rFonts w:hint="eastAsia" w:ascii="宋体" w:hAnsi="宋体"/>
                <w:color w:val="auto"/>
                <w:sz w:val="24"/>
                <w:szCs w:val="20"/>
                <w:highlight w:val="none"/>
              </w:rPr>
            </w:pPr>
          </w:p>
        </w:tc>
        <w:tc>
          <w:tcPr>
            <w:tcW w:w="1701" w:type="dxa"/>
            <w:noWrap w:val="0"/>
            <w:vAlign w:val="center"/>
          </w:tcPr>
          <w:p>
            <w:pPr>
              <w:spacing w:line="360" w:lineRule="auto"/>
              <w:contextualSpacing/>
              <w:jc w:val="center"/>
              <w:rPr>
                <w:rFonts w:hint="eastAsia" w:ascii="宋体" w:hAnsi="宋体"/>
                <w:color w:val="auto"/>
                <w:sz w:val="24"/>
                <w:szCs w:val="20"/>
                <w:highlight w:val="none"/>
              </w:rPr>
            </w:pPr>
          </w:p>
        </w:tc>
        <w:tc>
          <w:tcPr>
            <w:tcW w:w="1420" w:type="dxa"/>
            <w:noWrap w:val="0"/>
            <w:vAlign w:val="center"/>
          </w:tcPr>
          <w:p>
            <w:pPr>
              <w:spacing w:line="360" w:lineRule="auto"/>
              <w:contextualSpacing/>
              <w:jc w:val="center"/>
              <w:rPr>
                <w:rFonts w:hint="eastAsia" w:ascii="宋体" w:hAnsi="宋体"/>
                <w:color w:val="auto"/>
                <w:sz w:val="24"/>
                <w:szCs w:val="20"/>
                <w:highlight w:val="none"/>
              </w:rPr>
            </w:pPr>
          </w:p>
        </w:tc>
        <w:tc>
          <w:tcPr>
            <w:tcW w:w="1698" w:type="dxa"/>
            <w:noWrap w:val="0"/>
            <w:vAlign w:val="center"/>
          </w:tcPr>
          <w:p>
            <w:pPr>
              <w:spacing w:line="360" w:lineRule="auto"/>
              <w:contextualSpacing/>
              <w:jc w:val="center"/>
              <w:rPr>
                <w:rFonts w:hint="eastAsia" w:ascii="宋体" w:hAnsi="宋体"/>
                <w:color w:val="auto"/>
                <w:sz w:val="24"/>
                <w:szCs w:val="20"/>
                <w:highlight w:val="none"/>
              </w:rPr>
            </w:pPr>
          </w:p>
        </w:tc>
        <w:tc>
          <w:tcPr>
            <w:tcW w:w="1843" w:type="dxa"/>
            <w:noWrap w:val="0"/>
            <w:vAlign w:val="center"/>
          </w:tcPr>
          <w:p>
            <w:pPr>
              <w:spacing w:line="360" w:lineRule="auto"/>
              <w:contextualSpacing/>
              <w:jc w:val="center"/>
              <w:rPr>
                <w:rFonts w:hint="eastAsia"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center"/>
          </w:tcPr>
          <w:p>
            <w:pPr>
              <w:spacing w:line="360" w:lineRule="auto"/>
              <w:contextualSpacing/>
              <w:jc w:val="center"/>
              <w:rPr>
                <w:rFonts w:hint="eastAsia" w:ascii="宋体" w:hAnsi="宋体"/>
                <w:color w:val="auto"/>
                <w:sz w:val="24"/>
                <w:szCs w:val="20"/>
                <w:highlight w:val="none"/>
              </w:rPr>
            </w:pPr>
          </w:p>
        </w:tc>
        <w:tc>
          <w:tcPr>
            <w:tcW w:w="709" w:type="dxa"/>
            <w:noWrap w:val="0"/>
            <w:vAlign w:val="center"/>
          </w:tcPr>
          <w:p>
            <w:pPr>
              <w:spacing w:line="360" w:lineRule="auto"/>
              <w:contextualSpacing/>
              <w:jc w:val="center"/>
              <w:rPr>
                <w:rFonts w:hint="eastAsia" w:ascii="宋体" w:hAnsi="宋体"/>
                <w:color w:val="auto"/>
                <w:sz w:val="24"/>
                <w:szCs w:val="20"/>
                <w:highlight w:val="none"/>
              </w:rPr>
            </w:pPr>
          </w:p>
        </w:tc>
        <w:tc>
          <w:tcPr>
            <w:tcW w:w="1701" w:type="dxa"/>
            <w:noWrap w:val="0"/>
            <w:vAlign w:val="center"/>
          </w:tcPr>
          <w:p>
            <w:pPr>
              <w:spacing w:line="360" w:lineRule="auto"/>
              <w:contextualSpacing/>
              <w:jc w:val="center"/>
              <w:rPr>
                <w:rFonts w:hint="eastAsia" w:ascii="宋体" w:hAnsi="宋体"/>
                <w:color w:val="auto"/>
                <w:sz w:val="24"/>
                <w:szCs w:val="20"/>
                <w:highlight w:val="none"/>
              </w:rPr>
            </w:pPr>
          </w:p>
        </w:tc>
        <w:tc>
          <w:tcPr>
            <w:tcW w:w="1420" w:type="dxa"/>
            <w:noWrap w:val="0"/>
            <w:vAlign w:val="center"/>
          </w:tcPr>
          <w:p>
            <w:pPr>
              <w:spacing w:line="360" w:lineRule="auto"/>
              <w:contextualSpacing/>
              <w:jc w:val="center"/>
              <w:rPr>
                <w:rFonts w:hint="eastAsia" w:ascii="宋体" w:hAnsi="宋体"/>
                <w:color w:val="auto"/>
                <w:sz w:val="24"/>
                <w:szCs w:val="20"/>
                <w:highlight w:val="none"/>
              </w:rPr>
            </w:pPr>
          </w:p>
        </w:tc>
        <w:tc>
          <w:tcPr>
            <w:tcW w:w="1698" w:type="dxa"/>
            <w:noWrap w:val="0"/>
            <w:vAlign w:val="center"/>
          </w:tcPr>
          <w:p>
            <w:pPr>
              <w:spacing w:line="360" w:lineRule="auto"/>
              <w:contextualSpacing/>
              <w:jc w:val="center"/>
              <w:rPr>
                <w:rFonts w:hint="eastAsia" w:ascii="宋体" w:hAnsi="宋体"/>
                <w:color w:val="auto"/>
                <w:sz w:val="24"/>
                <w:szCs w:val="20"/>
                <w:highlight w:val="none"/>
              </w:rPr>
            </w:pPr>
          </w:p>
        </w:tc>
        <w:tc>
          <w:tcPr>
            <w:tcW w:w="1843" w:type="dxa"/>
            <w:noWrap w:val="0"/>
            <w:vAlign w:val="center"/>
          </w:tcPr>
          <w:p>
            <w:pPr>
              <w:spacing w:line="360" w:lineRule="auto"/>
              <w:contextualSpacing/>
              <w:jc w:val="center"/>
              <w:rPr>
                <w:rFonts w:hint="eastAsia" w:ascii="宋体" w:hAnsi="宋体"/>
                <w:color w:val="auto"/>
                <w:sz w:val="24"/>
                <w:szCs w:val="20"/>
                <w:highlight w:val="none"/>
              </w:rPr>
            </w:pPr>
          </w:p>
        </w:tc>
      </w:tr>
    </w:tbl>
    <w:p>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在填写时，如本表格不适合供应商的实际情况，可根据本表格式自行制表填写。</w:t>
      </w:r>
    </w:p>
    <w:p>
      <w:pPr>
        <w:spacing w:line="360" w:lineRule="auto"/>
        <w:contextualSpacing/>
        <w:jc w:val="left"/>
        <w:rPr>
          <w:rFonts w:hint="eastAsia"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供应商应当附本表所列证书的复印件并加盖供应商公章。</w:t>
      </w:r>
    </w:p>
    <w:p>
      <w:pPr>
        <w:spacing w:line="360" w:lineRule="auto"/>
        <w:contextualSpacing/>
        <w:rPr>
          <w:rFonts w:hint="eastAsia" w:ascii="宋体" w:hAnsi="宋体"/>
          <w:color w:val="auto"/>
          <w:sz w:val="24"/>
          <w:highlight w:val="none"/>
        </w:rPr>
      </w:pPr>
    </w:p>
    <w:p>
      <w:pPr>
        <w:spacing w:line="360" w:lineRule="auto"/>
        <w:ind w:right="-817" w:rightChars="-389"/>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rPr>
        <w:t>供应商（盖章/</w:t>
      </w:r>
      <w:r>
        <w:rPr>
          <w:rFonts w:hint="eastAsia" w:ascii="宋体" w:hAnsi="宋体" w:cs="仿宋_GB2312"/>
          <w:color w:val="auto"/>
          <w:sz w:val="24"/>
          <w:highlight w:val="none"/>
          <w:lang w:eastAsia="zh-CN"/>
        </w:rPr>
        <w:t>签名</w:t>
      </w:r>
      <w:r>
        <w:rPr>
          <w:rFonts w:hint="eastAsia" w:ascii="宋体" w:hAnsi="宋体" w:cs="仿宋_GB2312"/>
          <w:color w:val="auto"/>
          <w:sz w:val="24"/>
          <w:highlight w:val="none"/>
        </w:rPr>
        <w:t xml:space="preserve">）：      </w:t>
      </w:r>
    </w:p>
    <w:p>
      <w:pPr>
        <w:spacing w:line="360" w:lineRule="auto"/>
        <w:ind w:right="-817" w:rightChars="-389" w:firstLine="2880" w:firstLineChars="1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法定代表人/负责人（或委托代理人）： </w:t>
      </w:r>
    </w:p>
    <w:p>
      <w:pPr>
        <w:spacing w:line="360" w:lineRule="auto"/>
        <w:ind w:right="-817" w:rightChars="-389" w:firstLine="2880" w:firstLineChars="1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pPr>
        <w:spacing w:line="360" w:lineRule="auto"/>
        <w:ind w:right="-817" w:rightChars="-389" w:firstLine="2880" w:firstLineChars="1200"/>
        <w:contextualSpacing/>
        <w:rPr>
          <w:rFonts w:hint="eastAsia" w:ascii="宋体" w:hAnsi="宋体" w:cs="仿宋_GB2312"/>
          <w:color w:val="auto"/>
          <w:sz w:val="24"/>
          <w:highlight w:val="none"/>
        </w:rPr>
      </w:pPr>
    </w:p>
    <w:p>
      <w:pPr>
        <w:spacing w:line="360" w:lineRule="auto"/>
        <w:ind w:right="-817" w:rightChars="-389" w:firstLine="5520" w:firstLineChars="2300"/>
        <w:contextualSpacing/>
        <w:rPr>
          <w:rFonts w:hint="eastAsia"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 xml:space="preserve">  年   月   日</w:t>
      </w:r>
    </w:p>
    <w:p>
      <w:pPr>
        <w:snapToGrid w:val="0"/>
        <w:spacing w:before="50" w:after="120" w:afterLines="50"/>
        <w:jc w:val="left"/>
        <w:rPr>
          <w:rFonts w:hint="eastAsia" w:ascii="宋体" w:hAnsi="宋体"/>
          <w:color w:val="auto"/>
          <w:sz w:val="24"/>
          <w:szCs w:val="20"/>
          <w:highlight w:val="none"/>
        </w:rPr>
      </w:pPr>
    </w:p>
    <w:p>
      <w:pPr>
        <w:pStyle w:val="2"/>
        <w:rPr>
          <w:rFonts w:hint="eastAsia" w:ascii="宋体" w:hAnsi="宋体"/>
          <w:b/>
          <w:bCs w:val="0"/>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lang w:val="en-US" w:eastAsia="zh-CN"/>
        </w:rPr>
        <w:t xml:space="preserve">            </w:t>
      </w:r>
      <w:r>
        <w:rPr>
          <w:rFonts w:hint="eastAsia" w:ascii="方正小标宋简体" w:hAnsi="方正小标宋简体" w:eastAsia="方正小标宋简体" w:cs="方正小标宋简体"/>
          <w:color w:val="auto"/>
          <w:sz w:val="44"/>
          <w:szCs w:val="44"/>
          <w:highlight w:val="none"/>
        </w:rPr>
        <w:t>质疑函（格式）</w:t>
      </w:r>
    </w:p>
    <w:p>
      <w:pPr>
        <w:pStyle w:val="16"/>
        <w:spacing w:line="360" w:lineRule="auto"/>
        <w:ind w:firstLine="482" w:firstLineChars="200"/>
        <w:contextualSpacing/>
        <w:jc w:val="left"/>
        <w:rPr>
          <w:rFonts w:hAnsi="宋体"/>
          <w:b/>
          <w:bCs/>
          <w:color w:val="auto"/>
          <w:sz w:val="24"/>
          <w:szCs w:val="24"/>
          <w:highlight w:val="none"/>
        </w:rPr>
      </w:pPr>
      <w:r>
        <w:rPr>
          <w:rFonts w:hint="eastAsia" w:hAnsi="宋体"/>
          <w:b/>
          <w:bCs/>
          <w:color w:val="auto"/>
          <w:sz w:val="24"/>
          <w:szCs w:val="24"/>
          <w:highlight w:val="none"/>
        </w:rPr>
        <w:t>一、质疑供应商基本信息：</w:t>
      </w:r>
    </w:p>
    <w:p>
      <w:pPr>
        <w:pStyle w:val="16"/>
        <w:spacing w:line="360" w:lineRule="auto"/>
        <w:ind w:firstLine="480" w:firstLineChars="200"/>
        <w:contextualSpacing/>
        <w:jc w:val="left"/>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6"/>
        <w:spacing w:line="360" w:lineRule="auto"/>
        <w:ind w:firstLine="480" w:firstLineChars="200"/>
        <w:contextualSpacing/>
        <w:jc w:val="left"/>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6"/>
        <w:spacing w:line="360" w:lineRule="auto"/>
        <w:ind w:firstLine="480" w:firstLineChars="200"/>
        <w:contextualSpacing/>
        <w:jc w:val="left"/>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16"/>
        <w:spacing w:line="360" w:lineRule="auto"/>
        <w:ind w:firstLine="480" w:firstLineChars="200"/>
        <w:contextualSpacing/>
        <w:jc w:val="left"/>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pPr>
        <w:pStyle w:val="16"/>
        <w:spacing w:line="360" w:lineRule="auto"/>
        <w:ind w:firstLine="480" w:firstLineChars="200"/>
        <w:contextualSpacing/>
        <w:jc w:val="left"/>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16"/>
        <w:spacing w:line="360" w:lineRule="auto"/>
        <w:ind w:firstLine="480" w:firstLineChars="200"/>
        <w:contextualSpacing/>
        <w:jc w:val="left"/>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6"/>
        <w:spacing w:line="360" w:lineRule="auto"/>
        <w:ind w:firstLine="482" w:firstLineChars="200"/>
        <w:contextualSpacing/>
        <w:jc w:val="left"/>
        <w:rPr>
          <w:rFonts w:hint="eastAsia" w:hAnsi="宋体"/>
          <w:b/>
          <w:bCs/>
          <w:color w:val="auto"/>
          <w:sz w:val="24"/>
          <w:szCs w:val="24"/>
          <w:highlight w:val="none"/>
        </w:rPr>
      </w:pPr>
      <w:r>
        <w:rPr>
          <w:rFonts w:hint="eastAsia" w:hAnsi="宋体"/>
          <w:b/>
          <w:bCs/>
          <w:color w:val="auto"/>
          <w:sz w:val="24"/>
          <w:szCs w:val="24"/>
          <w:highlight w:val="none"/>
        </w:rPr>
        <w:t>二、质疑项目基本情况：</w:t>
      </w:r>
    </w:p>
    <w:p>
      <w:pPr>
        <w:pStyle w:val="16"/>
        <w:spacing w:line="360" w:lineRule="auto"/>
        <w:ind w:left="25" w:leftChars="12" w:firstLine="472" w:firstLineChars="197"/>
        <w:contextualSpacing/>
        <w:jc w:val="left"/>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pPr>
        <w:pStyle w:val="16"/>
        <w:spacing w:line="360" w:lineRule="auto"/>
        <w:ind w:left="25" w:leftChars="12" w:firstLine="472" w:firstLineChars="197"/>
        <w:contextualSpacing/>
        <w:jc w:val="left"/>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pPr>
        <w:pStyle w:val="16"/>
        <w:spacing w:line="360" w:lineRule="auto"/>
        <w:ind w:left="25" w:leftChars="12" w:firstLine="472" w:firstLineChars="197"/>
        <w:contextualSpacing/>
        <w:jc w:val="left"/>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pPr>
        <w:pStyle w:val="16"/>
        <w:spacing w:line="360" w:lineRule="auto"/>
        <w:ind w:left="25" w:leftChars="12" w:firstLine="472" w:firstLineChars="197"/>
        <w:contextualSpacing/>
        <w:jc w:val="left"/>
        <w:rPr>
          <w:rFonts w:hint="eastAsia" w:hAnsi="宋体"/>
          <w:color w:val="auto"/>
          <w:sz w:val="24"/>
          <w:szCs w:val="24"/>
          <w:highlight w:val="none"/>
        </w:rPr>
      </w:pPr>
      <w:r>
        <w:rPr>
          <w:rFonts w:hint="eastAsia" w:hAnsi="宋体"/>
          <w:color w:val="auto"/>
          <w:sz w:val="24"/>
          <w:szCs w:val="24"/>
          <w:highlight w:val="none"/>
        </w:rPr>
        <w:t>质疑事项：</w:t>
      </w:r>
    </w:p>
    <w:p>
      <w:pPr>
        <w:pStyle w:val="16"/>
        <w:spacing w:line="360" w:lineRule="auto"/>
        <w:ind w:left="25" w:leftChars="12" w:firstLine="352" w:firstLineChars="147"/>
        <w:contextualSpacing/>
        <w:jc w:val="left"/>
        <w:rPr>
          <w:rFonts w:hint="eastAsia" w:hAnsi="宋体"/>
          <w:color w:val="auto"/>
          <w:sz w:val="24"/>
          <w:szCs w:val="24"/>
          <w:highlight w:val="none"/>
        </w:rPr>
      </w:pPr>
      <w:r>
        <w:rPr>
          <w:rFonts w:hint="eastAsia" w:hAnsi="宋体"/>
          <w:color w:val="auto"/>
          <w:sz w:val="24"/>
          <w:szCs w:val="24"/>
          <w:highlight w:val="none"/>
        </w:rPr>
        <w:t>□</w:t>
      </w:r>
      <w:r>
        <w:rPr>
          <w:rFonts w:hint="eastAsia" w:hAnsi="宋体"/>
          <w:color w:val="auto"/>
          <w:sz w:val="24"/>
          <w:szCs w:val="24"/>
          <w:highlight w:val="none"/>
          <w:lang w:val="en-US" w:eastAsia="zh-CN"/>
        </w:rPr>
        <w:t>磋商</w:t>
      </w:r>
      <w:r>
        <w:rPr>
          <w:rFonts w:hint="eastAsia" w:hAnsi="宋体"/>
          <w:color w:val="auto"/>
          <w:sz w:val="24"/>
          <w:szCs w:val="24"/>
          <w:highlight w:val="none"/>
        </w:rPr>
        <w:t xml:space="preserve">文件   </w:t>
      </w:r>
      <w:r>
        <w:rPr>
          <w:rFonts w:hint="eastAsia" w:hAnsi="宋体"/>
          <w:color w:val="auto"/>
          <w:sz w:val="24"/>
          <w:szCs w:val="24"/>
          <w:highlight w:val="none"/>
          <w:lang w:val="en-US" w:eastAsia="zh-CN"/>
        </w:rPr>
        <w:t>磋商</w:t>
      </w:r>
      <w:r>
        <w:rPr>
          <w:rFonts w:hint="eastAsia" w:hAnsi="宋体"/>
          <w:color w:val="auto"/>
          <w:sz w:val="24"/>
          <w:szCs w:val="24"/>
          <w:highlight w:val="none"/>
        </w:rPr>
        <w:t>文件获取日期：</w:t>
      </w:r>
      <w:r>
        <w:rPr>
          <w:rFonts w:hint="eastAsia" w:hAnsi="宋体"/>
          <w:bCs/>
          <w:color w:val="auto"/>
          <w:sz w:val="24"/>
          <w:szCs w:val="24"/>
          <w:highlight w:val="none"/>
          <w:u w:val="single"/>
        </w:rPr>
        <w:t xml:space="preserve">                                   </w:t>
      </w:r>
    </w:p>
    <w:p>
      <w:pPr>
        <w:pStyle w:val="16"/>
        <w:spacing w:line="360" w:lineRule="auto"/>
        <w:ind w:left="25" w:leftChars="12" w:firstLine="352" w:firstLineChars="147"/>
        <w:contextualSpacing/>
        <w:jc w:val="left"/>
        <w:rPr>
          <w:rFonts w:hint="eastAsia" w:hAnsi="宋体"/>
          <w:color w:val="auto"/>
          <w:sz w:val="24"/>
          <w:szCs w:val="24"/>
          <w:highlight w:val="none"/>
        </w:rPr>
      </w:pPr>
      <w:r>
        <w:rPr>
          <w:rFonts w:hint="eastAsia" w:hAnsi="宋体"/>
          <w:color w:val="auto"/>
          <w:sz w:val="24"/>
          <w:szCs w:val="24"/>
          <w:highlight w:val="none"/>
        </w:rPr>
        <w:t xml:space="preserve">□采购过程   </w:t>
      </w:r>
    </w:p>
    <w:p>
      <w:pPr>
        <w:pStyle w:val="16"/>
        <w:spacing w:line="360" w:lineRule="auto"/>
        <w:ind w:left="25" w:leftChars="12" w:firstLine="352" w:firstLineChars="147"/>
        <w:contextualSpacing/>
        <w:jc w:val="left"/>
        <w:rPr>
          <w:rFonts w:hint="eastAsia" w:hAnsi="宋体"/>
          <w:bCs/>
          <w:color w:val="auto"/>
          <w:sz w:val="24"/>
          <w:szCs w:val="24"/>
          <w:highlight w:val="none"/>
          <w:u w:val="single"/>
        </w:rPr>
      </w:pPr>
      <w:r>
        <w:rPr>
          <w:rFonts w:hint="eastAsia" w:hAnsi="宋体"/>
          <w:color w:val="auto"/>
          <w:sz w:val="24"/>
          <w:szCs w:val="24"/>
          <w:highlight w:val="none"/>
        </w:rPr>
        <w:t xml:space="preserve">□成交结果   </w:t>
      </w:r>
    </w:p>
    <w:p>
      <w:pPr>
        <w:pStyle w:val="16"/>
        <w:spacing w:line="360" w:lineRule="auto"/>
        <w:ind w:left="25" w:leftChars="12" w:firstLine="472" w:firstLineChars="196"/>
        <w:contextualSpacing/>
        <w:jc w:val="left"/>
        <w:rPr>
          <w:rFonts w:hint="eastAsia" w:hAnsi="宋体"/>
          <w:b/>
          <w:color w:val="auto"/>
          <w:sz w:val="24"/>
          <w:szCs w:val="24"/>
          <w:highlight w:val="none"/>
        </w:rPr>
      </w:pPr>
      <w:r>
        <w:rPr>
          <w:rFonts w:hint="eastAsia" w:hAnsi="宋体"/>
          <w:b/>
          <w:color w:val="auto"/>
          <w:sz w:val="24"/>
          <w:szCs w:val="24"/>
          <w:highlight w:val="none"/>
        </w:rPr>
        <w:t>三、质疑事项具体内容</w:t>
      </w:r>
    </w:p>
    <w:p>
      <w:pPr>
        <w:pStyle w:val="16"/>
        <w:spacing w:line="360" w:lineRule="auto"/>
        <w:ind w:left="25" w:leftChars="12" w:firstLine="472" w:firstLineChars="197"/>
        <w:contextualSpacing/>
        <w:jc w:val="left"/>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pPr>
        <w:pStyle w:val="16"/>
        <w:spacing w:line="360" w:lineRule="auto"/>
        <w:ind w:left="25" w:leftChars="12" w:firstLine="472" w:firstLineChars="197"/>
        <w:contextualSpacing/>
        <w:jc w:val="left"/>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pPr>
        <w:pStyle w:val="16"/>
        <w:spacing w:line="360" w:lineRule="auto"/>
        <w:ind w:left="25" w:leftChars="12" w:firstLine="472" w:firstLineChars="197"/>
        <w:contextualSpacing/>
        <w:jc w:val="left"/>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pPr>
        <w:pStyle w:val="16"/>
        <w:spacing w:line="360" w:lineRule="auto"/>
        <w:ind w:left="25" w:leftChars="12" w:firstLine="472" w:firstLineChars="197"/>
        <w:contextualSpacing/>
        <w:jc w:val="left"/>
        <w:rPr>
          <w:rFonts w:hint="eastAsia" w:hAnsi="宋体"/>
          <w:color w:val="auto"/>
          <w:sz w:val="24"/>
          <w:szCs w:val="24"/>
          <w:highlight w:val="none"/>
        </w:rPr>
      </w:pPr>
      <w:r>
        <w:rPr>
          <w:rFonts w:hint="eastAsia" w:hAnsi="宋体"/>
          <w:color w:val="auto"/>
          <w:sz w:val="24"/>
          <w:szCs w:val="24"/>
          <w:highlight w:val="none"/>
        </w:rPr>
        <w:t>质疑事项2</w:t>
      </w:r>
    </w:p>
    <w:p>
      <w:pPr>
        <w:pStyle w:val="16"/>
        <w:spacing w:line="360" w:lineRule="auto"/>
        <w:ind w:left="25" w:leftChars="12" w:firstLine="472" w:firstLineChars="197"/>
        <w:contextualSpacing/>
        <w:jc w:val="left"/>
        <w:rPr>
          <w:rFonts w:hint="eastAsia" w:hAnsi="宋体"/>
          <w:color w:val="auto"/>
          <w:sz w:val="24"/>
          <w:szCs w:val="24"/>
          <w:highlight w:val="none"/>
        </w:rPr>
      </w:pPr>
      <w:r>
        <w:rPr>
          <w:rFonts w:hAnsi="宋体"/>
          <w:color w:val="auto"/>
          <w:sz w:val="24"/>
          <w:szCs w:val="24"/>
          <w:highlight w:val="none"/>
        </w:rPr>
        <w:t>……</w:t>
      </w:r>
    </w:p>
    <w:p>
      <w:pPr>
        <w:pStyle w:val="16"/>
        <w:spacing w:line="360" w:lineRule="auto"/>
        <w:ind w:left="25" w:leftChars="12" w:firstLine="472" w:firstLineChars="197"/>
        <w:contextualSpacing/>
        <w:jc w:val="left"/>
        <w:rPr>
          <w:rFonts w:hint="eastAsia" w:hAnsi="宋体"/>
          <w:color w:val="auto"/>
          <w:sz w:val="24"/>
          <w:szCs w:val="24"/>
          <w:highlight w:val="none"/>
        </w:rPr>
      </w:pPr>
      <w:r>
        <w:rPr>
          <w:rFonts w:hint="eastAsia" w:hAnsi="宋体"/>
          <w:color w:val="auto"/>
          <w:sz w:val="24"/>
          <w:szCs w:val="24"/>
          <w:highlight w:val="none"/>
        </w:rPr>
        <w:t>四、与质疑事项相关的质疑请求：</w:t>
      </w:r>
    </w:p>
    <w:p>
      <w:pPr>
        <w:pStyle w:val="16"/>
        <w:spacing w:line="360" w:lineRule="auto"/>
        <w:ind w:left="25" w:leftChars="12" w:firstLine="472" w:firstLineChars="197"/>
        <w:contextualSpacing/>
        <w:jc w:val="left"/>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pPr>
        <w:pStyle w:val="16"/>
        <w:spacing w:line="360" w:lineRule="auto"/>
        <w:ind w:left="25" w:leftChars="12" w:firstLine="352" w:firstLineChars="147"/>
        <w:contextualSpacing/>
        <w:jc w:val="left"/>
        <w:rPr>
          <w:rFonts w:hint="eastAsia" w:hAnsi="宋体"/>
          <w:color w:val="auto"/>
          <w:sz w:val="24"/>
          <w:szCs w:val="24"/>
          <w:highlight w:val="none"/>
        </w:rPr>
      </w:pPr>
    </w:p>
    <w:p>
      <w:pPr>
        <w:pStyle w:val="16"/>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质疑投标人（盖章/</w:t>
      </w:r>
      <w:r>
        <w:rPr>
          <w:rFonts w:hint="eastAsia" w:hAnsi="宋体"/>
          <w:color w:val="auto"/>
          <w:sz w:val="24"/>
          <w:szCs w:val="24"/>
          <w:highlight w:val="none"/>
          <w:lang w:eastAsia="zh-CN"/>
        </w:rPr>
        <w:t>签名</w:t>
      </w:r>
      <w:r>
        <w:rPr>
          <w:rFonts w:hint="eastAsia" w:hAnsi="宋体"/>
          <w:color w:val="auto"/>
          <w:sz w:val="24"/>
          <w:szCs w:val="24"/>
          <w:highlight w:val="none"/>
        </w:rPr>
        <w:t>）：</w:t>
      </w:r>
    </w:p>
    <w:p>
      <w:pPr>
        <w:pStyle w:val="16"/>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法定代表人/负责人（或委托代理人）：</w:t>
      </w:r>
    </w:p>
    <w:p>
      <w:pPr>
        <w:rPr>
          <w:color w:val="auto"/>
          <w:highlight w:val="none"/>
        </w:rPr>
      </w:pPr>
      <w:r>
        <w:rPr>
          <w:rFonts w:hint="eastAsia" w:hAnsi="宋体"/>
          <w:color w:val="auto"/>
          <w:sz w:val="24"/>
          <w:szCs w:val="24"/>
          <w:highlight w:val="none"/>
        </w:rPr>
        <w:t xml:space="preserve">                                                 年    月    日</w:t>
      </w:r>
    </w:p>
    <w:p>
      <w:pPr>
        <w:pStyle w:val="16"/>
        <w:spacing w:line="360" w:lineRule="auto"/>
        <w:contextualSpacing/>
        <w:jc w:val="left"/>
        <w:rPr>
          <w:rFonts w:hint="eastAsia" w:hAnsi="宋体"/>
          <w:b/>
          <w:color w:val="auto"/>
          <w:sz w:val="24"/>
          <w:szCs w:val="24"/>
          <w:highlight w:val="none"/>
        </w:rPr>
      </w:pPr>
    </w:p>
    <w:p>
      <w:pPr>
        <w:pStyle w:val="16"/>
        <w:spacing w:line="360" w:lineRule="auto"/>
        <w:contextualSpacing/>
        <w:jc w:val="left"/>
        <w:rPr>
          <w:rFonts w:hint="eastAsia" w:hAnsi="宋体"/>
          <w:b/>
          <w:color w:val="auto"/>
          <w:sz w:val="24"/>
          <w:szCs w:val="24"/>
          <w:highlight w:val="none"/>
        </w:rPr>
      </w:pPr>
      <w:r>
        <w:rPr>
          <w:rFonts w:hint="eastAsia" w:hAnsi="宋体"/>
          <w:b/>
          <w:color w:val="auto"/>
          <w:sz w:val="24"/>
          <w:szCs w:val="24"/>
          <w:highlight w:val="none"/>
        </w:rPr>
        <w:t>说明：</w:t>
      </w:r>
    </w:p>
    <w:p>
      <w:pPr>
        <w:pStyle w:val="16"/>
        <w:spacing w:line="360" w:lineRule="auto"/>
        <w:contextualSpacing/>
        <w:jc w:val="left"/>
        <w:rPr>
          <w:rFonts w:hint="eastAsia" w:hAnsi="宋体"/>
          <w:b/>
          <w:color w:val="auto"/>
          <w:sz w:val="24"/>
          <w:szCs w:val="24"/>
          <w:highlight w:val="none"/>
        </w:rPr>
      </w:pPr>
    </w:p>
    <w:p>
      <w:pPr>
        <w:pStyle w:val="16"/>
        <w:spacing w:line="360" w:lineRule="auto"/>
        <w:ind w:left="25" w:leftChars="12" w:firstLine="354" w:firstLineChars="147"/>
        <w:contextualSpacing/>
        <w:jc w:val="left"/>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pPr>
        <w:pStyle w:val="16"/>
        <w:spacing w:line="360" w:lineRule="auto"/>
        <w:ind w:left="25" w:leftChars="12" w:firstLine="354" w:firstLineChars="147"/>
        <w:contextualSpacing/>
        <w:jc w:val="left"/>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6"/>
        <w:spacing w:line="360" w:lineRule="auto"/>
        <w:ind w:left="25" w:leftChars="12" w:firstLine="354" w:firstLineChars="147"/>
        <w:contextualSpacing/>
        <w:jc w:val="left"/>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pPr>
        <w:pStyle w:val="16"/>
        <w:spacing w:line="360" w:lineRule="auto"/>
        <w:ind w:left="25" w:leftChars="12" w:firstLine="354" w:firstLineChars="147"/>
        <w:contextualSpacing/>
        <w:jc w:val="left"/>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pPr>
        <w:pStyle w:val="16"/>
        <w:spacing w:line="360" w:lineRule="auto"/>
        <w:ind w:left="25" w:leftChars="12" w:firstLine="354" w:firstLineChars="147"/>
        <w:contextualSpacing/>
        <w:jc w:val="left"/>
        <w:rPr>
          <w:rFonts w:hint="eastAsia" w:hAnsi="宋体"/>
          <w:b/>
          <w:color w:val="auto"/>
          <w:highlight w:val="none"/>
        </w:rPr>
      </w:pPr>
      <w:r>
        <w:rPr>
          <w:rFonts w:hint="eastAsia" w:hAnsi="宋体"/>
          <w:b/>
          <w:color w:val="auto"/>
          <w:sz w:val="24"/>
          <w:szCs w:val="24"/>
          <w:highlight w:val="none"/>
        </w:rPr>
        <w:t>5.质疑供应商为法人或者</w:t>
      </w:r>
      <w:r>
        <w:rPr>
          <w:rFonts w:hint="eastAsia" w:hAnsi="宋体"/>
          <w:b/>
          <w:color w:val="auto"/>
          <w:sz w:val="24"/>
          <w:szCs w:val="24"/>
          <w:highlight w:val="none"/>
          <w:lang w:eastAsia="zh-CN"/>
        </w:rPr>
        <w:t>非法人组织</w:t>
      </w:r>
      <w:r>
        <w:rPr>
          <w:rFonts w:hint="eastAsia" w:hAnsi="宋体"/>
          <w:b/>
          <w:color w:val="auto"/>
          <w:sz w:val="24"/>
          <w:szCs w:val="24"/>
          <w:highlight w:val="none"/>
        </w:rPr>
        <w:t>的，质疑函应由法定代表人、主要负责人，或者其授权代表签</w:t>
      </w:r>
      <w:r>
        <w:rPr>
          <w:rFonts w:hint="eastAsia" w:hAnsi="宋体"/>
          <w:b/>
          <w:color w:val="auto"/>
          <w:sz w:val="24"/>
          <w:szCs w:val="24"/>
          <w:highlight w:val="none"/>
          <w:lang w:eastAsia="zh-CN"/>
        </w:rPr>
        <w:t>名</w:t>
      </w:r>
      <w:r>
        <w:rPr>
          <w:rFonts w:hint="eastAsia" w:hAnsi="宋体"/>
          <w:b/>
          <w:color w:val="auto"/>
          <w:sz w:val="24"/>
          <w:szCs w:val="24"/>
          <w:highlight w:val="none"/>
        </w:rPr>
        <w:t>或者盖章，并加盖公章。</w:t>
      </w:r>
    </w:p>
    <w:p>
      <w:pPr>
        <w:pStyle w:val="16"/>
        <w:snapToGrid w:val="0"/>
        <w:spacing w:line="360" w:lineRule="auto"/>
        <w:jc w:val="center"/>
        <w:rPr>
          <w:rFonts w:hint="eastAsia"/>
          <w:b/>
          <w:color w:val="auto"/>
          <w:sz w:val="24"/>
          <w:szCs w:val="24"/>
          <w:highlight w:val="none"/>
        </w:rPr>
      </w:pPr>
    </w:p>
    <w:p>
      <w:pPr>
        <w:spacing w:line="360" w:lineRule="auto"/>
        <w:jc w:val="center"/>
        <w:rPr>
          <w:rFonts w:hint="eastAsia"/>
          <w:color w:val="auto"/>
          <w:sz w:val="32"/>
          <w:szCs w:val="40"/>
          <w:highlight w:val="none"/>
        </w:rPr>
      </w:pPr>
    </w:p>
    <w:p>
      <w:pPr>
        <w:spacing w:line="360" w:lineRule="auto"/>
        <w:jc w:val="center"/>
        <w:rPr>
          <w:rFonts w:hint="eastAsia"/>
          <w:color w:val="auto"/>
          <w:sz w:val="32"/>
          <w:szCs w:val="40"/>
          <w:highlight w:val="none"/>
        </w:rPr>
      </w:pPr>
    </w:p>
    <w:p>
      <w:pPr>
        <w:spacing w:line="360" w:lineRule="auto"/>
        <w:jc w:val="center"/>
        <w:rPr>
          <w:rFonts w:hint="eastAsia"/>
          <w:color w:val="auto"/>
          <w:sz w:val="32"/>
          <w:szCs w:val="40"/>
          <w:highlight w:val="none"/>
        </w:rPr>
      </w:pPr>
    </w:p>
    <w:p>
      <w:pPr>
        <w:spacing w:line="360" w:lineRule="auto"/>
        <w:jc w:val="center"/>
        <w:rPr>
          <w:rFonts w:hint="eastAsia"/>
          <w:color w:val="auto"/>
          <w:sz w:val="32"/>
          <w:szCs w:val="40"/>
          <w:highlight w:val="none"/>
        </w:rPr>
      </w:pPr>
    </w:p>
    <w:p>
      <w:pPr>
        <w:spacing w:line="360" w:lineRule="auto"/>
        <w:jc w:val="center"/>
        <w:rPr>
          <w:rFonts w:hint="eastAsia"/>
          <w:color w:val="auto"/>
          <w:sz w:val="32"/>
          <w:szCs w:val="40"/>
          <w:highlight w:val="none"/>
        </w:rPr>
      </w:pPr>
    </w:p>
    <w:p>
      <w:pPr>
        <w:spacing w:line="360" w:lineRule="auto"/>
        <w:jc w:val="center"/>
        <w:rPr>
          <w:rFonts w:hint="eastAsia"/>
          <w:color w:val="auto"/>
          <w:sz w:val="32"/>
          <w:szCs w:val="40"/>
          <w:highlight w:val="none"/>
        </w:rPr>
      </w:pPr>
    </w:p>
    <w:p>
      <w:pPr>
        <w:spacing w:line="360" w:lineRule="auto"/>
        <w:jc w:val="center"/>
        <w:rPr>
          <w:rFonts w:hint="eastAsia"/>
          <w:color w:val="auto"/>
          <w:sz w:val="32"/>
          <w:szCs w:val="40"/>
          <w:highlight w:val="none"/>
        </w:rPr>
      </w:pPr>
    </w:p>
    <w:p>
      <w:pPr>
        <w:spacing w:line="360" w:lineRule="auto"/>
        <w:jc w:val="center"/>
        <w:rPr>
          <w:rFonts w:hint="eastAsia"/>
          <w:color w:val="auto"/>
          <w:sz w:val="32"/>
          <w:szCs w:val="40"/>
          <w:highlight w:val="none"/>
        </w:rPr>
      </w:pPr>
    </w:p>
    <w:p>
      <w:pPr>
        <w:spacing w:line="360" w:lineRule="auto"/>
        <w:jc w:val="center"/>
        <w:rPr>
          <w:rFonts w:hint="eastAsia"/>
          <w:color w:val="auto"/>
          <w:sz w:val="32"/>
          <w:szCs w:val="40"/>
          <w:highlight w:val="none"/>
        </w:rPr>
      </w:pPr>
    </w:p>
    <w:p>
      <w:pPr>
        <w:spacing w:line="360" w:lineRule="auto"/>
        <w:jc w:val="center"/>
        <w:rPr>
          <w:rFonts w:hint="eastAsia"/>
          <w:color w:val="auto"/>
          <w:sz w:val="32"/>
          <w:szCs w:val="40"/>
          <w:highlight w:val="none"/>
        </w:rPr>
      </w:pPr>
    </w:p>
    <w:p>
      <w:pPr>
        <w:spacing w:line="360" w:lineRule="auto"/>
        <w:jc w:val="center"/>
        <w:rPr>
          <w:rFonts w:hint="eastAsia"/>
          <w:color w:val="auto"/>
          <w:sz w:val="32"/>
          <w:szCs w:val="40"/>
          <w:highlight w:val="none"/>
        </w:rPr>
      </w:pPr>
    </w:p>
    <w:p>
      <w:pPr>
        <w:spacing w:line="360" w:lineRule="auto"/>
        <w:jc w:val="center"/>
        <w:rPr>
          <w:rFonts w:hint="eastAsia"/>
          <w:color w:val="auto"/>
          <w:sz w:val="32"/>
          <w:szCs w:val="40"/>
          <w:highlight w:val="none"/>
        </w:rPr>
      </w:pPr>
    </w:p>
    <w:p>
      <w:pPr>
        <w:spacing w:line="360" w:lineRule="auto"/>
        <w:jc w:val="center"/>
        <w:rPr>
          <w:rFonts w:hint="eastAsia"/>
          <w:color w:val="auto"/>
          <w:sz w:val="32"/>
          <w:szCs w:val="40"/>
          <w:highlight w:val="none"/>
        </w:rPr>
        <w:sectPr>
          <w:pgSz w:w="11906" w:h="16838"/>
          <w:pgMar w:top="1440" w:right="1401" w:bottom="1440" w:left="1685" w:header="851" w:footer="992" w:gutter="0"/>
          <w:cols w:space="720" w:num="1"/>
          <w:titlePg/>
          <w:docGrid w:type="lines" w:linePitch="312" w:charSpace="0"/>
        </w:sectPr>
      </w:pPr>
    </w:p>
    <w:p>
      <w:pPr>
        <w:keepNext/>
        <w:keepLines/>
        <w:autoSpaceDE w:val="0"/>
        <w:autoSpaceDN w:val="0"/>
        <w:adjustRightInd w:val="0"/>
        <w:snapToGrid w:val="0"/>
        <w:jc w:val="center"/>
        <w:textAlignment w:val="bottom"/>
        <w:rPr>
          <w:b/>
          <w:bCs/>
          <w:color w:val="auto"/>
          <w:kern w:val="44"/>
          <w:sz w:val="44"/>
          <w:szCs w:val="44"/>
          <w:highlight w:val="none"/>
        </w:rPr>
      </w:pPr>
      <w:bookmarkStart w:id="148" w:name="_Toc1640_WPSOffice_Level1"/>
      <w:bookmarkStart w:id="149" w:name="_Toc10013_WPSOffice_Level1"/>
      <w:bookmarkStart w:id="150" w:name="_Toc74323461"/>
      <w:r>
        <w:rPr>
          <w:rFonts w:hint="eastAsia"/>
          <w:b/>
          <w:bCs/>
          <w:color w:val="auto"/>
          <w:kern w:val="44"/>
          <w:sz w:val="44"/>
          <w:szCs w:val="44"/>
          <w:highlight w:val="none"/>
        </w:rPr>
        <w:t>第六章 合同文本</w:t>
      </w:r>
      <w:bookmarkEnd w:id="148"/>
      <w:bookmarkEnd w:id="149"/>
    </w:p>
    <w:p>
      <w:pPr>
        <w:pStyle w:val="11"/>
        <w:jc w:val="center"/>
        <w:rPr>
          <w:rFonts w:hint="eastAsia" w:eastAsia="方正小标宋简体"/>
          <w:i/>
          <w:iCs/>
          <w:color w:val="auto"/>
          <w:highlight w:val="none"/>
          <w:u w:val="single"/>
        </w:rPr>
      </w:pPr>
    </w:p>
    <w:bookmarkEnd w:id="150"/>
    <w:p>
      <w:pPr>
        <w:spacing w:line="460" w:lineRule="exact"/>
        <w:rPr>
          <w:rFonts w:hint="eastAsia" w:ascii="方正仿宋_GBK" w:hAnsi="方正仿宋_GBK" w:eastAsia="方正仿宋_GBK" w:cs="方正仿宋_GBK"/>
          <w:i/>
          <w:iCs/>
          <w:color w:val="auto"/>
          <w:szCs w:val="21"/>
          <w:highlight w:val="none"/>
          <w:lang w:eastAsia="zh-CN"/>
        </w:rPr>
      </w:pPr>
    </w:p>
    <w:p>
      <w:pPr>
        <w:pStyle w:val="11"/>
        <w:jc w:val="center"/>
        <w:rPr>
          <w:rFonts w:eastAsia="方正小标宋简体"/>
          <w:color w:val="auto"/>
          <w:highlight w:val="none"/>
          <w:u w:val="single"/>
        </w:rPr>
      </w:pPr>
      <w:r>
        <w:rPr>
          <w:rFonts w:hint="eastAsia" w:eastAsia="方正小标宋简体"/>
          <w:color w:val="auto"/>
          <w:highlight w:val="none"/>
          <w:u w:val="single"/>
        </w:rPr>
        <w:t>（注：本合同样式仅供参考，签订合同时采购人与</w:t>
      </w:r>
      <w:r>
        <w:rPr>
          <w:rFonts w:hint="eastAsia" w:ascii="Times New Roman" w:hAnsi="Times New Roman" w:eastAsia="方正小标宋简体"/>
          <w:color w:val="auto"/>
          <w:highlight w:val="none"/>
          <w:u w:val="single"/>
        </w:rPr>
        <w:t>供应商</w:t>
      </w:r>
      <w:r>
        <w:rPr>
          <w:rFonts w:hint="eastAsia" w:eastAsia="方正小标宋简体"/>
          <w:color w:val="auto"/>
          <w:highlight w:val="none"/>
          <w:u w:val="single"/>
        </w:rPr>
        <w:t>根据</w:t>
      </w:r>
      <w:r>
        <w:rPr>
          <w:rFonts w:hint="eastAsia" w:eastAsia="方正小标宋简体"/>
          <w:color w:val="auto"/>
          <w:highlight w:val="none"/>
          <w:u w:val="single"/>
          <w:lang w:val="en-US" w:eastAsia="zh-CN"/>
        </w:rPr>
        <w:t>磋商</w:t>
      </w:r>
      <w:r>
        <w:rPr>
          <w:rFonts w:hint="eastAsia" w:eastAsia="方正小标宋简体"/>
          <w:color w:val="auto"/>
          <w:highlight w:val="none"/>
          <w:u w:val="single"/>
        </w:rPr>
        <w:t>情况适实调整。）</w:t>
      </w:r>
    </w:p>
    <w:p>
      <w:pPr>
        <w:spacing w:line="560" w:lineRule="exact"/>
        <w:rPr>
          <w:rFonts w:ascii="仿宋_GB2312" w:hAnsi="Times New Roman" w:eastAsia="仿宋_GB2312" w:cs="Times New Roman"/>
          <w:color w:val="auto"/>
          <w:sz w:val="36"/>
          <w:szCs w:val="36"/>
          <w:highlight w:val="none"/>
        </w:rPr>
      </w:pPr>
    </w:p>
    <w:p>
      <w:pPr>
        <w:spacing w:line="500" w:lineRule="exact"/>
        <w:rPr>
          <w:rFonts w:cs="仿宋_GB2312"/>
          <w:color w:val="auto"/>
          <w:szCs w:val="21"/>
          <w:highlight w:val="none"/>
        </w:rPr>
      </w:pPr>
    </w:p>
    <w:p>
      <w:pPr>
        <w:pStyle w:val="11"/>
        <w:rPr>
          <w:rFonts w:ascii="宋体" w:hAnsi="宋体" w:cs="仿宋_GB2312"/>
          <w:color w:val="auto"/>
          <w:szCs w:val="21"/>
          <w:highlight w:val="none"/>
        </w:rPr>
      </w:pPr>
      <w:r>
        <w:rPr>
          <w:rFonts w:hint="eastAsia" w:ascii="宋体" w:hAnsi="宋体" w:cs="仿宋_GB2312"/>
          <w:color w:val="auto"/>
          <w:szCs w:val="21"/>
          <w:highlight w:val="none"/>
        </w:rPr>
        <w:t xml:space="preserve">                                                                 合同编号：</w:t>
      </w:r>
    </w:p>
    <w:p>
      <w:pPr>
        <w:pStyle w:val="11"/>
        <w:rPr>
          <w:rFonts w:ascii="宋体" w:hAnsi="宋体" w:cs="仿宋_GB2312"/>
          <w:color w:val="auto"/>
          <w:szCs w:val="21"/>
          <w:highlight w:val="none"/>
        </w:rPr>
      </w:pPr>
    </w:p>
    <w:p>
      <w:pPr>
        <w:pStyle w:val="11"/>
        <w:rPr>
          <w:rFonts w:ascii="宋体" w:hAnsi="宋体" w:cs="仿宋_GB2312"/>
          <w:color w:val="auto"/>
          <w:szCs w:val="21"/>
          <w:highlight w:val="none"/>
        </w:rPr>
      </w:pPr>
    </w:p>
    <w:p>
      <w:pPr>
        <w:pStyle w:val="11"/>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网络学习平台培训服务项目</w:t>
      </w:r>
      <w:r>
        <w:rPr>
          <w:rFonts w:hint="eastAsia" w:ascii="方正小标宋简体" w:hAnsi="方正小标宋简体" w:eastAsia="方正小标宋简体" w:cs="方正小标宋简体"/>
          <w:color w:val="auto"/>
          <w:sz w:val="44"/>
          <w:szCs w:val="44"/>
          <w:highlight w:val="none"/>
        </w:rPr>
        <w:t>合同</w:t>
      </w:r>
    </w:p>
    <w:p>
      <w:pPr>
        <w:pStyle w:val="11"/>
        <w:rPr>
          <w:rFonts w:ascii="宋体" w:hAnsi="宋体" w:cs="仿宋_GB2312"/>
          <w:color w:val="auto"/>
          <w:szCs w:val="21"/>
          <w:highlight w:val="none"/>
        </w:rPr>
      </w:pPr>
    </w:p>
    <w:p>
      <w:pPr>
        <w:spacing w:line="360" w:lineRule="exact"/>
        <w:rPr>
          <w:rFonts w:ascii="仿宋_GB2312" w:hAnsi="Times New Roman" w:eastAsia="仿宋_GB2312" w:cs="Times New Roman"/>
          <w:color w:val="auto"/>
          <w:highlight w:val="none"/>
        </w:rPr>
      </w:pPr>
    </w:p>
    <w:p>
      <w:pPr>
        <w:spacing w:line="560" w:lineRule="exact"/>
        <w:ind w:left="-25" w:leftChars="-12" w:firstLine="571" w:firstLineChars="204"/>
        <w:rPr>
          <w:rFonts w:ascii="黑体" w:hAnsi="Times New Roman" w:cs="Times New Roman"/>
          <w:color w:val="auto"/>
          <w:sz w:val="28"/>
          <w:szCs w:val="28"/>
          <w:highlight w:val="none"/>
        </w:rPr>
      </w:pPr>
      <w:r>
        <w:rPr>
          <w:rFonts w:hint="eastAsia" w:ascii="黑体" w:hAnsi="Times New Roman" w:cs="Times New Roman"/>
          <w:color w:val="auto"/>
          <w:sz w:val="28"/>
          <w:szCs w:val="28"/>
          <w:highlight w:val="none"/>
          <w:lang w:val="en-US" w:eastAsia="zh-CN"/>
        </w:rPr>
        <w:t>甲方</w:t>
      </w:r>
      <w:r>
        <w:rPr>
          <w:rFonts w:hint="eastAsia" w:ascii="黑体" w:hAnsi="Times New Roman" w:cs="Times New Roman"/>
          <w:color w:val="auto"/>
          <w:sz w:val="28"/>
          <w:szCs w:val="28"/>
          <w:highlight w:val="none"/>
        </w:rPr>
        <w:t xml:space="preserve">： </w:t>
      </w:r>
    </w:p>
    <w:p>
      <w:pPr>
        <w:spacing w:line="560" w:lineRule="exact"/>
        <w:ind w:left="-25" w:leftChars="-12" w:firstLine="571" w:firstLineChars="204"/>
        <w:rPr>
          <w:rFonts w:ascii="黑体" w:hAnsi="Times New Roman" w:cs="Times New Roman"/>
          <w:color w:val="auto"/>
          <w:sz w:val="28"/>
          <w:szCs w:val="28"/>
          <w:highlight w:val="none"/>
        </w:rPr>
      </w:pPr>
      <w:r>
        <w:rPr>
          <w:rFonts w:hint="eastAsia" w:ascii="黑体" w:hAnsi="Times New Roman" w:cs="Times New Roman"/>
          <w:color w:val="auto"/>
          <w:sz w:val="28"/>
          <w:szCs w:val="28"/>
          <w:highlight w:val="none"/>
        </w:rPr>
        <w:t>法定代表人（或</w:t>
      </w:r>
      <w:r>
        <w:rPr>
          <w:rFonts w:hint="eastAsia" w:ascii="黑体" w:hAnsi="Times New Roman" w:cs="Times New Roman"/>
          <w:color w:val="auto"/>
          <w:sz w:val="28"/>
          <w:szCs w:val="28"/>
          <w:highlight w:val="none"/>
          <w:lang w:val="en-US" w:eastAsia="zh-CN"/>
        </w:rPr>
        <w:t>授权代理人</w:t>
      </w:r>
      <w:r>
        <w:rPr>
          <w:rFonts w:hint="eastAsia" w:ascii="黑体" w:hAnsi="Times New Roman" w:cs="Times New Roman"/>
          <w:color w:val="auto"/>
          <w:sz w:val="28"/>
          <w:szCs w:val="28"/>
          <w:highlight w:val="none"/>
        </w:rPr>
        <w:t>）：</w:t>
      </w:r>
    </w:p>
    <w:p>
      <w:pPr>
        <w:spacing w:line="560" w:lineRule="exact"/>
        <w:ind w:left="-25" w:leftChars="-12" w:firstLine="571" w:firstLineChars="204"/>
        <w:rPr>
          <w:rFonts w:ascii="黑体" w:hAnsi="Times New Roman" w:cs="Times New Roman"/>
          <w:color w:val="auto"/>
          <w:sz w:val="28"/>
          <w:szCs w:val="28"/>
          <w:highlight w:val="none"/>
        </w:rPr>
      </w:pPr>
      <w:r>
        <w:rPr>
          <w:rFonts w:hint="eastAsia" w:ascii="黑体" w:hAnsi="Times New Roman" w:cs="Times New Roman"/>
          <w:color w:val="auto"/>
          <w:sz w:val="28"/>
          <w:szCs w:val="28"/>
          <w:highlight w:val="none"/>
        </w:rPr>
        <w:t xml:space="preserve">地址： </w:t>
      </w:r>
    </w:p>
    <w:p>
      <w:pPr>
        <w:spacing w:line="560" w:lineRule="exact"/>
        <w:ind w:left="-25" w:leftChars="-12" w:firstLine="571" w:firstLineChars="204"/>
        <w:rPr>
          <w:rFonts w:ascii="黑体" w:hAnsi="Times New Roman" w:cs="Times New Roman"/>
          <w:color w:val="auto"/>
          <w:sz w:val="28"/>
          <w:szCs w:val="28"/>
          <w:highlight w:val="none"/>
        </w:rPr>
      </w:pPr>
      <w:r>
        <w:rPr>
          <w:rFonts w:hint="eastAsia" w:ascii="黑体" w:hAnsi="Times New Roman" w:cs="Times New Roman"/>
          <w:color w:val="auto"/>
          <w:sz w:val="28"/>
          <w:szCs w:val="28"/>
          <w:highlight w:val="none"/>
        </w:rPr>
        <w:t>联系人：</w:t>
      </w:r>
    </w:p>
    <w:p>
      <w:pPr>
        <w:spacing w:line="560" w:lineRule="exact"/>
        <w:ind w:left="-25" w:leftChars="-12" w:firstLine="571" w:firstLineChars="204"/>
        <w:rPr>
          <w:rFonts w:ascii="黑体" w:hAnsi="Times New Roman" w:cs="Times New Roman"/>
          <w:b/>
          <w:bCs/>
          <w:color w:val="auto"/>
          <w:sz w:val="28"/>
          <w:szCs w:val="28"/>
          <w:highlight w:val="none"/>
        </w:rPr>
      </w:pPr>
      <w:r>
        <w:rPr>
          <w:rFonts w:hint="eastAsia" w:ascii="黑体" w:hAnsi="Times New Roman" w:cs="Times New Roman"/>
          <w:color w:val="auto"/>
          <w:sz w:val="28"/>
          <w:szCs w:val="28"/>
          <w:highlight w:val="none"/>
        </w:rPr>
        <w:t>联系方式：</w:t>
      </w:r>
    </w:p>
    <w:p>
      <w:pPr>
        <w:spacing w:line="560" w:lineRule="exact"/>
        <w:ind w:left="-25" w:leftChars="-12" w:firstLine="571" w:firstLineChars="204"/>
        <w:rPr>
          <w:rFonts w:ascii="仿宋_GB2312" w:hAnsi="Times New Roman" w:cs="Times New Roman"/>
          <w:color w:val="auto"/>
          <w:sz w:val="28"/>
          <w:szCs w:val="28"/>
          <w:highlight w:val="none"/>
        </w:rPr>
      </w:pPr>
    </w:p>
    <w:p>
      <w:pPr>
        <w:spacing w:line="560" w:lineRule="exact"/>
        <w:ind w:left="-25" w:leftChars="-12" w:firstLine="571" w:firstLineChars="204"/>
        <w:rPr>
          <w:rFonts w:ascii="仿宋_GB2312" w:hAnsi="Times New Roman" w:cs="Times New Roman"/>
          <w:color w:val="auto"/>
          <w:sz w:val="28"/>
          <w:szCs w:val="28"/>
          <w:highlight w:val="none"/>
        </w:rPr>
      </w:pPr>
    </w:p>
    <w:p>
      <w:pPr>
        <w:spacing w:line="560" w:lineRule="exact"/>
        <w:ind w:left="-25" w:leftChars="-12" w:firstLine="571" w:firstLineChars="204"/>
        <w:rPr>
          <w:rFonts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lang w:val="en-US" w:eastAsia="zh-CN"/>
        </w:rPr>
        <w:t>乙方</w:t>
      </w:r>
      <w:r>
        <w:rPr>
          <w:rFonts w:hint="eastAsia" w:ascii="Times New Roman" w:hAnsi="Times New Roman" w:cs="Times New Roman"/>
          <w:color w:val="auto"/>
          <w:sz w:val="28"/>
          <w:szCs w:val="28"/>
          <w:highlight w:val="none"/>
        </w:rPr>
        <w:t>：</w:t>
      </w:r>
      <w:r>
        <w:rPr>
          <w:rFonts w:hint="eastAsia" w:ascii="仿宋_GB2312" w:hAnsi="Times New Roman" w:cs="Times New Roman"/>
          <w:color w:val="auto"/>
          <w:sz w:val="28"/>
          <w:szCs w:val="28"/>
          <w:highlight w:val="none"/>
        </w:rPr>
        <w:t xml:space="preserve">   </w:t>
      </w:r>
    </w:p>
    <w:p>
      <w:pPr>
        <w:spacing w:line="560" w:lineRule="exact"/>
        <w:ind w:left="-25" w:leftChars="-12" w:firstLine="571" w:firstLineChars="204"/>
        <w:rPr>
          <w:rFonts w:ascii="黑体" w:hAnsi="Times New Roman" w:cs="Times New Roman"/>
          <w:color w:val="auto"/>
          <w:sz w:val="28"/>
          <w:szCs w:val="28"/>
          <w:highlight w:val="none"/>
        </w:rPr>
      </w:pPr>
      <w:r>
        <w:rPr>
          <w:rFonts w:hint="eastAsia" w:ascii="黑体" w:hAnsi="Times New Roman" w:cs="Times New Roman"/>
          <w:color w:val="auto"/>
          <w:sz w:val="28"/>
          <w:szCs w:val="28"/>
          <w:highlight w:val="none"/>
        </w:rPr>
        <w:t>法定代表人（或</w:t>
      </w:r>
      <w:r>
        <w:rPr>
          <w:rFonts w:hint="eastAsia" w:ascii="黑体" w:hAnsi="Times New Roman" w:cs="Times New Roman"/>
          <w:color w:val="auto"/>
          <w:sz w:val="28"/>
          <w:szCs w:val="28"/>
          <w:highlight w:val="none"/>
          <w:lang w:val="en-US" w:eastAsia="zh-CN"/>
        </w:rPr>
        <w:t>授权代理人</w:t>
      </w:r>
      <w:r>
        <w:rPr>
          <w:rFonts w:hint="eastAsia" w:ascii="黑体" w:hAnsi="Times New Roman" w:cs="Times New Roman"/>
          <w:color w:val="auto"/>
          <w:sz w:val="28"/>
          <w:szCs w:val="28"/>
          <w:highlight w:val="none"/>
        </w:rPr>
        <w:t>）：</w:t>
      </w:r>
    </w:p>
    <w:p>
      <w:pPr>
        <w:spacing w:line="560" w:lineRule="exact"/>
        <w:ind w:left="-25" w:leftChars="-12" w:firstLine="571" w:firstLineChars="204"/>
        <w:rPr>
          <w:rFonts w:ascii="仿宋_GB2312" w:hAnsi="Times New Roman" w:cs="Times New Roman"/>
          <w:color w:val="auto"/>
          <w:sz w:val="28"/>
          <w:szCs w:val="28"/>
          <w:highlight w:val="none"/>
        </w:rPr>
      </w:pPr>
      <w:r>
        <w:rPr>
          <w:rFonts w:hint="eastAsia" w:ascii="仿宋_GB2312" w:hAnsi="Times New Roman" w:cs="Times New Roman"/>
          <w:color w:val="auto"/>
          <w:sz w:val="28"/>
          <w:szCs w:val="28"/>
          <w:highlight w:val="none"/>
        </w:rPr>
        <w:t xml:space="preserve">地址： </w:t>
      </w:r>
    </w:p>
    <w:p>
      <w:pPr>
        <w:spacing w:line="560" w:lineRule="exact"/>
        <w:ind w:left="-25" w:leftChars="-12" w:firstLine="571" w:firstLineChars="204"/>
        <w:rPr>
          <w:rFonts w:ascii="仿宋_GB2312" w:hAnsi="Times New Roman" w:cs="Times New Roman"/>
          <w:color w:val="auto"/>
          <w:sz w:val="28"/>
          <w:szCs w:val="28"/>
          <w:highlight w:val="none"/>
        </w:rPr>
      </w:pPr>
      <w:r>
        <w:rPr>
          <w:rFonts w:hint="eastAsia" w:ascii="仿宋_GB2312" w:hAnsi="Times New Roman" w:cs="Times New Roman"/>
          <w:color w:val="auto"/>
          <w:sz w:val="28"/>
          <w:szCs w:val="28"/>
          <w:highlight w:val="none"/>
        </w:rPr>
        <w:t>联系人：</w:t>
      </w:r>
    </w:p>
    <w:p>
      <w:pPr>
        <w:spacing w:line="560" w:lineRule="exact"/>
        <w:ind w:left="-25" w:leftChars="-12" w:firstLine="571" w:firstLineChars="204"/>
        <w:rPr>
          <w:color w:val="auto"/>
          <w:highlight w:val="none"/>
        </w:rPr>
      </w:pPr>
      <w:r>
        <w:rPr>
          <w:rFonts w:hint="eastAsia" w:ascii="仿宋_GB2312" w:hAnsi="Times New Roman" w:cs="Times New Roman"/>
          <w:color w:val="auto"/>
          <w:sz w:val="28"/>
          <w:szCs w:val="28"/>
          <w:highlight w:val="none"/>
        </w:rPr>
        <w:t>联系方式：</w:t>
      </w:r>
    </w:p>
    <w:p>
      <w:pPr>
        <w:spacing w:line="440" w:lineRule="exact"/>
        <w:ind w:firstLine="480" w:firstLineChars="200"/>
        <w:rPr>
          <w:rFonts w:hint="eastAsia" w:ascii="宋体" w:hAnsi="宋体" w:cs="仿宋_GB2312"/>
          <w:color w:val="auto"/>
          <w:sz w:val="24"/>
          <w:highlight w:val="none"/>
        </w:rPr>
      </w:pPr>
    </w:p>
    <w:p>
      <w:pPr>
        <w:spacing w:line="440" w:lineRule="exact"/>
        <w:ind w:firstLine="640" w:firstLineChars="200"/>
        <w:rPr>
          <w:rFonts w:ascii="Times New Roman" w:hAnsi="Times New Roman" w:eastAsia="仿宋" w:cs="Times New Roman"/>
          <w:color w:val="auto"/>
          <w:sz w:val="32"/>
          <w:szCs w:val="32"/>
          <w:highlight w:val="none"/>
        </w:rPr>
      </w:pPr>
      <w:r>
        <w:rPr>
          <w:rFonts w:hint="default" w:ascii="Times New Roman" w:hAnsi="仿宋" w:eastAsia="仿宋" w:cs="Times New Roman"/>
          <w:color w:val="auto"/>
          <w:sz w:val="32"/>
          <w:szCs w:val="32"/>
          <w:highlight w:val="none"/>
        </w:rPr>
        <w:t>根据《中华人民共和国</w:t>
      </w:r>
      <w:r>
        <w:rPr>
          <w:rFonts w:hint="default" w:ascii="Times New Roman" w:hAnsi="仿宋" w:eastAsia="仿宋" w:cs="Times New Roman"/>
          <w:color w:val="auto"/>
          <w:sz w:val="32"/>
          <w:szCs w:val="32"/>
          <w:highlight w:val="none"/>
          <w:lang w:val="en-US" w:eastAsia="zh-CN"/>
        </w:rPr>
        <w:t>民法典</w:t>
      </w:r>
      <w:r>
        <w:rPr>
          <w:rFonts w:hint="default" w:ascii="Times New Roman" w:hAnsi="仿宋" w:eastAsia="仿宋" w:cs="Times New Roman"/>
          <w:color w:val="auto"/>
          <w:sz w:val="32"/>
          <w:szCs w:val="32"/>
          <w:highlight w:val="none"/>
        </w:rPr>
        <w:t>》等有关法律、行政法规，甲乙双方遵循平等、自愿、公平和诚实信用的原则订立本合同</w:t>
      </w:r>
      <w:r>
        <w:rPr>
          <w:rFonts w:hint="default" w:ascii="Times New Roman" w:hAnsi="仿宋" w:eastAsia="仿宋" w:cs="Times New Roman"/>
          <w:color w:val="auto"/>
          <w:sz w:val="32"/>
          <w:szCs w:val="32"/>
          <w:highlight w:val="none"/>
          <w:lang w:eastAsia="zh-CN"/>
        </w:rPr>
        <w:t>，</w:t>
      </w:r>
      <w:r>
        <w:rPr>
          <w:rFonts w:hint="default" w:ascii="Times New Roman" w:hAnsi="仿宋" w:eastAsia="仿宋" w:cs="Times New Roman"/>
          <w:color w:val="auto"/>
          <w:sz w:val="32"/>
          <w:szCs w:val="32"/>
          <w:highlight w:val="none"/>
        </w:rPr>
        <w:t>供双方共同遵照执行</w:t>
      </w:r>
      <w:r>
        <w:rPr>
          <w:rFonts w:hint="eastAsia" w:ascii="Times New Roman" w:hAnsi="仿宋" w:eastAsia="仿宋" w:cs="Times New Roman"/>
          <w:color w:val="auto"/>
          <w:sz w:val="32"/>
          <w:szCs w:val="32"/>
          <w:highlight w:val="none"/>
          <w:lang w:eastAsia="zh-CN"/>
        </w:rPr>
        <w:t>。</w:t>
      </w:r>
    </w:p>
    <w:p>
      <w:pPr>
        <w:pStyle w:val="18"/>
        <w:spacing w:line="540" w:lineRule="exact"/>
        <w:ind w:leftChars="103" w:firstLine="320" w:firstLineChars="100"/>
        <w:rPr>
          <w:rFonts w:ascii="Times New Roman" w:hAnsi="Times New Roman" w:eastAsia="仿宋"/>
          <w:color w:val="auto"/>
          <w:sz w:val="32"/>
          <w:szCs w:val="32"/>
          <w:highlight w:val="none"/>
        </w:rPr>
      </w:pPr>
      <w:r>
        <w:rPr>
          <w:rFonts w:hint="eastAsia" w:ascii="Times New Roman" w:hAnsi="仿宋" w:eastAsia="仿宋"/>
          <w:color w:val="auto"/>
          <w:sz w:val="32"/>
          <w:szCs w:val="32"/>
          <w:highlight w:val="none"/>
        </w:rPr>
        <w:t xml:space="preserve">第一条 </w:t>
      </w:r>
      <w:r>
        <w:rPr>
          <w:rFonts w:hint="eastAsia" w:ascii="Times New Roman" w:hAnsi="仿宋" w:eastAsia="仿宋"/>
          <w:color w:val="auto"/>
          <w:sz w:val="32"/>
          <w:szCs w:val="32"/>
          <w:highlight w:val="none"/>
          <w:lang w:val="en-US" w:eastAsia="zh-CN"/>
        </w:rPr>
        <w:t>服务</w:t>
      </w:r>
      <w:r>
        <w:rPr>
          <w:rFonts w:ascii="Times New Roman" w:hAnsi="仿宋" w:eastAsia="仿宋"/>
          <w:color w:val="auto"/>
          <w:sz w:val="32"/>
          <w:szCs w:val="32"/>
          <w:highlight w:val="none"/>
        </w:rPr>
        <w:t>项目与内容</w:t>
      </w:r>
    </w:p>
    <w:p>
      <w:pPr>
        <w:snapToGrid w:val="0"/>
        <w:spacing w:line="540" w:lineRule="exact"/>
        <w:ind w:firstLine="640" w:firstLineChars="200"/>
        <w:jc w:val="both"/>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1.1</w:t>
      </w:r>
      <w:r>
        <w:rPr>
          <w:rFonts w:hint="eastAsia" w:ascii="Times New Roman" w:hAnsi="Times New Roman" w:eastAsia="仿宋" w:cs="Times New Roman"/>
          <w:color w:val="auto"/>
          <w:sz w:val="32"/>
          <w:szCs w:val="32"/>
          <w:highlight w:val="none"/>
          <w:lang w:val="en-US" w:eastAsia="zh-CN"/>
        </w:rPr>
        <w:t xml:space="preserve"> 服务</w:t>
      </w:r>
      <w:r>
        <w:rPr>
          <w:rFonts w:ascii="Times New Roman" w:hAnsi="仿宋" w:eastAsia="仿宋" w:cs="Times New Roman"/>
          <w:color w:val="auto"/>
          <w:sz w:val="32"/>
          <w:szCs w:val="32"/>
          <w:highlight w:val="none"/>
        </w:rPr>
        <w:t>项目名称：广西农村信用社</w:t>
      </w:r>
      <w:r>
        <w:rPr>
          <w:rFonts w:hint="eastAsia" w:ascii="Times New Roman" w:hAnsi="仿宋" w:eastAsia="仿宋" w:cs="Times New Roman"/>
          <w:color w:val="auto"/>
          <w:sz w:val="32"/>
          <w:szCs w:val="32"/>
          <w:highlight w:val="none"/>
          <w:lang w:val="en-US" w:eastAsia="zh-CN"/>
        </w:rPr>
        <w:t>网络学习平台培训服务</w:t>
      </w:r>
      <w:r>
        <w:rPr>
          <w:rFonts w:ascii="Times New Roman" w:hAnsi="仿宋" w:eastAsia="仿宋" w:cs="Times New Roman"/>
          <w:color w:val="auto"/>
          <w:sz w:val="32"/>
          <w:szCs w:val="32"/>
          <w:highlight w:val="none"/>
        </w:rPr>
        <w:t>项目</w:t>
      </w:r>
    </w:p>
    <w:p>
      <w:pPr>
        <w:snapToGrid w:val="0"/>
        <w:spacing w:line="540" w:lineRule="exact"/>
        <w:ind w:firstLine="640" w:firstLineChars="200"/>
        <w:jc w:val="both"/>
        <w:rPr>
          <w:rFonts w:ascii="Times New Roman" w:hAnsi="仿宋"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 xml:space="preserve">1.2 </w:t>
      </w:r>
      <w:r>
        <w:rPr>
          <w:rFonts w:ascii="Times New Roman" w:hAnsi="仿宋" w:eastAsia="仿宋" w:cs="Times New Roman"/>
          <w:color w:val="auto"/>
          <w:sz w:val="32"/>
          <w:szCs w:val="32"/>
          <w:highlight w:val="none"/>
        </w:rPr>
        <w:t>服务</w:t>
      </w:r>
      <w:r>
        <w:rPr>
          <w:rFonts w:hint="eastAsia" w:ascii="Times New Roman" w:hAnsi="仿宋" w:eastAsia="仿宋" w:cs="Times New Roman"/>
          <w:color w:val="auto"/>
          <w:sz w:val="32"/>
          <w:szCs w:val="32"/>
          <w:highlight w:val="none"/>
          <w:lang w:val="en-US" w:eastAsia="zh-CN"/>
        </w:rPr>
        <w:t>项目</w:t>
      </w:r>
      <w:r>
        <w:rPr>
          <w:rFonts w:ascii="Times New Roman" w:hAnsi="仿宋" w:eastAsia="仿宋" w:cs="Times New Roman"/>
          <w:color w:val="auto"/>
          <w:sz w:val="32"/>
          <w:szCs w:val="32"/>
          <w:highlight w:val="none"/>
        </w:rPr>
        <w:t>内容：</w:t>
      </w:r>
      <w:r>
        <w:rPr>
          <w:rFonts w:hint="eastAsia" w:ascii="Times New Roman" w:hAnsi="仿宋" w:eastAsia="仿宋" w:cs="Times New Roman"/>
          <w:color w:val="auto"/>
          <w:sz w:val="32"/>
          <w:szCs w:val="32"/>
          <w:highlight w:val="none"/>
          <w:lang w:val="en-US" w:eastAsia="zh-CN"/>
        </w:rPr>
        <w:t>在合同服务期内，</w:t>
      </w:r>
      <w:r>
        <w:rPr>
          <w:rFonts w:ascii="Times New Roman" w:hAnsi="仿宋" w:eastAsia="仿宋" w:cs="Times New Roman"/>
          <w:color w:val="auto"/>
          <w:sz w:val="32"/>
          <w:szCs w:val="32"/>
          <w:highlight w:val="none"/>
        </w:rPr>
        <w:t>乙方为甲方提供</w:t>
      </w:r>
      <w:r>
        <w:rPr>
          <w:rFonts w:hint="eastAsia" w:ascii="Times New Roman" w:hAnsi="仿宋" w:eastAsia="仿宋" w:cs="Times New Roman"/>
          <w:color w:val="auto"/>
          <w:sz w:val="32"/>
          <w:szCs w:val="32"/>
          <w:highlight w:val="none"/>
          <w:lang w:val="en-US" w:eastAsia="zh-CN"/>
        </w:rPr>
        <w:t>网络学习平台培训服务及平台应用的配套综合运营培训服务</w:t>
      </w:r>
      <w:r>
        <w:rPr>
          <w:rFonts w:ascii="Times New Roman" w:hAnsi="仿宋" w:eastAsia="仿宋" w:cs="Times New Roman"/>
          <w:color w:val="auto"/>
          <w:sz w:val="32"/>
          <w:szCs w:val="32"/>
          <w:highlight w:val="none"/>
        </w:rPr>
        <w:t>，</w:t>
      </w:r>
      <w:r>
        <w:rPr>
          <w:rFonts w:hint="eastAsia" w:ascii="Times New Roman" w:hAnsi="仿宋" w:eastAsia="仿宋" w:cs="Times New Roman"/>
          <w:color w:val="auto"/>
          <w:sz w:val="32"/>
          <w:szCs w:val="32"/>
          <w:highlight w:val="none"/>
          <w:lang w:val="en-US" w:eastAsia="zh-CN"/>
        </w:rPr>
        <w:t>实现网络学习及各项管理基础功能，包括但不限于不限于集中统一式的平台操作培训服务、平台管理能力培养服务、基础微课浏览制作服务、定向操作培训服务、应用难点指导、线上及线下运营辅导等平台应用培训及其他综合支持服务</w:t>
      </w:r>
      <w:r>
        <w:rPr>
          <w:rFonts w:ascii="Times New Roman" w:hAnsi="仿宋" w:eastAsia="仿宋" w:cs="Times New Roman"/>
          <w:color w:val="auto"/>
          <w:sz w:val="32"/>
          <w:szCs w:val="32"/>
          <w:highlight w:val="none"/>
        </w:rPr>
        <w:t>。</w:t>
      </w:r>
      <w:r>
        <w:rPr>
          <w:rFonts w:hint="eastAsia" w:ascii="Times New Roman" w:hAnsi="仿宋" w:eastAsia="仿宋" w:cs="Times New Roman"/>
          <w:color w:val="auto"/>
          <w:sz w:val="32"/>
          <w:szCs w:val="32"/>
          <w:highlight w:val="none"/>
          <w:lang w:val="en-US" w:eastAsia="zh-CN"/>
        </w:rPr>
        <w:t>根据双方协商，可</w:t>
      </w:r>
      <w:r>
        <w:rPr>
          <w:rFonts w:ascii="Times New Roman" w:hAnsi="仿宋" w:eastAsia="仿宋" w:cs="Times New Roman"/>
          <w:color w:val="auto"/>
          <w:sz w:val="32"/>
          <w:szCs w:val="32"/>
          <w:highlight w:val="none"/>
        </w:rPr>
        <w:t>根据实际需要，对服务</w:t>
      </w:r>
      <w:r>
        <w:rPr>
          <w:rFonts w:hint="eastAsia" w:ascii="Times New Roman" w:hAnsi="仿宋" w:eastAsia="仿宋" w:cs="Times New Roman"/>
          <w:color w:val="auto"/>
          <w:sz w:val="32"/>
          <w:szCs w:val="32"/>
          <w:highlight w:val="none"/>
        </w:rPr>
        <w:t>内容</w:t>
      </w:r>
      <w:r>
        <w:rPr>
          <w:rFonts w:ascii="Times New Roman" w:hAnsi="仿宋" w:eastAsia="仿宋" w:cs="Times New Roman"/>
          <w:color w:val="auto"/>
          <w:sz w:val="32"/>
          <w:szCs w:val="32"/>
          <w:highlight w:val="none"/>
        </w:rPr>
        <w:t>进行适当调整。</w:t>
      </w:r>
    </w:p>
    <w:p>
      <w:pPr>
        <w:pStyle w:val="18"/>
        <w:spacing w:line="540" w:lineRule="exact"/>
        <w:ind w:leftChars="103" w:firstLine="480" w:firstLineChars="150"/>
        <w:rPr>
          <w:rFonts w:ascii="Times New Roman" w:hAnsi="Times New Roman" w:eastAsia="仿宋"/>
          <w:color w:val="auto"/>
          <w:sz w:val="32"/>
          <w:szCs w:val="32"/>
          <w:highlight w:val="none"/>
        </w:rPr>
      </w:pPr>
      <w:r>
        <w:rPr>
          <w:rFonts w:hint="eastAsia" w:ascii="Times New Roman" w:hAnsi="仿宋" w:eastAsia="仿宋"/>
          <w:color w:val="auto"/>
          <w:sz w:val="32"/>
          <w:szCs w:val="32"/>
          <w:highlight w:val="none"/>
        </w:rPr>
        <w:t xml:space="preserve">第二条 </w:t>
      </w:r>
      <w:r>
        <w:rPr>
          <w:rFonts w:hint="eastAsia" w:ascii="Times New Roman" w:hAnsi="仿宋" w:eastAsia="仿宋"/>
          <w:color w:val="auto"/>
          <w:sz w:val="32"/>
          <w:szCs w:val="32"/>
          <w:highlight w:val="none"/>
          <w:lang w:val="en-US" w:eastAsia="zh-CN"/>
        </w:rPr>
        <w:t>服务项目</w:t>
      </w:r>
      <w:r>
        <w:rPr>
          <w:rFonts w:ascii="Times New Roman" w:hAnsi="仿宋" w:eastAsia="仿宋"/>
          <w:color w:val="auto"/>
          <w:sz w:val="32"/>
          <w:szCs w:val="32"/>
          <w:highlight w:val="none"/>
        </w:rPr>
        <w:t>履行期限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仿宋"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2.</w:t>
      </w:r>
      <w:r>
        <w:rPr>
          <w:rFonts w:hint="eastAsia" w:ascii="Times New Roman" w:hAnsi="Times New Roman" w:eastAsia="仿宋" w:cs="Times New Roman"/>
          <w:color w:val="auto"/>
          <w:sz w:val="32"/>
          <w:szCs w:val="32"/>
          <w:highlight w:val="none"/>
          <w:lang w:val="en-US" w:eastAsia="zh-CN"/>
        </w:rPr>
        <w:t>1</w:t>
      </w:r>
      <w:r>
        <w:rPr>
          <w:rFonts w:hint="eastAsia" w:ascii="Times New Roman" w:hAnsi="Times New Roman" w:eastAsia="仿宋" w:cs="Times New Roman"/>
          <w:color w:val="auto"/>
          <w:sz w:val="32"/>
          <w:szCs w:val="32"/>
          <w:highlight w:val="none"/>
        </w:rPr>
        <w:t xml:space="preserve"> </w:t>
      </w:r>
      <w:r>
        <w:rPr>
          <w:rFonts w:ascii="Times New Roman" w:hAnsi="仿宋" w:eastAsia="仿宋" w:cs="Times New Roman"/>
          <w:color w:val="auto"/>
          <w:sz w:val="32"/>
          <w:szCs w:val="32"/>
          <w:highlight w:val="none"/>
        </w:rPr>
        <w:t>乙方应自</w:t>
      </w:r>
      <w:r>
        <w:rPr>
          <w:rFonts w:hint="eastAsia" w:ascii="Times New Roman" w:hAnsi="Times New Roman" w:eastAsia="仿宋" w:cs="Times New Roman"/>
          <w:color w:val="auto"/>
          <w:sz w:val="32"/>
          <w:szCs w:val="32"/>
          <w:highlight w:val="none"/>
        </w:rPr>
        <w:t>签订本合同之日起</w:t>
      </w:r>
      <w:r>
        <w:rPr>
          <w:rFonts w:hint="eastAsia" w:hAnsi="仿宋" w:eastAsia="仿宋" w:cs="Times New Roman"/>
          <w:color w:val="auto"/>
          <w:sz w:val="32"/>
          <w:szCs w:val="32"/>
          <w:highlight w:val="none"/>
          <w:lang w:val="en-US" w:eastAsia="zh-CN"/>
        </w:rPr>
        <w:t>履行项目服务</w:t>
      </w:r>
      <w:r>
        <w:rPr>
          <w:rFonts w:ascii="Times New Roman" w:hAnsi="仿宋" w:eastAsia="仿宋" w:cs="Times New Roman"/>
          <w:color w:val="auto"/>
          <w:sz w:val="32"/>
          <w:szCs w:val="32"/>
          <w:highlight w:val="none"/>
        </w:rPr>
        <w:t>，</w:t>
      </w:r>
      <w:r>
        <w:rPr>
          <w:rFonts w:hint="eastAsia" w:ascii="Times New Roman" w:hAnsi="仿宋" w:eastAsia="仿宋" w:cs="Times New Roman"/>
          <w:color w:val="auto"/>
          <w:sz w:val="32"/>
          <w:szCs w:val="32"/>
          <w:highlight w:val="none"/>
        </w:rPr>
        <w:t>项目分</w:t>
      </w:r>
      <w:r>
        <w:rPr>
          <w:rFonts w:hint="eastAsia" w:ascii="Times New Roman" w:hAnsi="仿宋" w:eastAsia="仿宋" w:cs="Times New Roman"/>
          <w:color w:val="auto"/>
          <w:sz w:val="32"/>
          <w:szCs w:val="32"/>
          <w:highlight w:val="none"/>
          <w:lang w:val="en-US" w:eastAsia="zh-CN"/>
        </w:rPr>
        <w:t>建设期</w:t>
      </w:r>
      <w:r>
        <w:rPr>
          <w:rFonts w:hint="eastAsia" w:ascii="Times New Roman" w:hAnsi="仿宋" w:eastAsia="仿宋" w:cs="Times New Roman"/>
          <w:color w:val="auto"/>
          <w:sz w:val="32"/>
          <w:szCs w:val="32"/>
          <w:highlight w:val="none"/>
        </w:rPr>
        <w:t>和</w:t>
      </w:r>
      <w:r>
        <w:rPr>
          <w:rFonts w:hint="eastAsia" w:ascii="Times New Roman" w:hAnsi="仿宋" w:eastAsia="仿宋" w:cs="Times New Roman"/>
          <w:color w:val="auto"/>
          <w:sz w:val="32"/>
          <w:szCs w:val="32"/>
          <w:highlight w:val="none"/>
          <w:lang w:val="en-US" w:eastAsia="zh-CN"/>
        </w:rPr>
        <w:t>服务期</w:t>
      </w:r>
      <w:r>
        <w:rPr>
          <w:rFonts w:hint="eastAsia" w:ascii="Times New Roman" w:hAnsi="仿宋" w:eastAsia="仿宋" w:cs="Times New Roman"/>
          <w:color w:val="auto"/>
          <w:sz w:val="32"/>
          <w:szCs w:val="32"/>
          <w:highlight w:val="none"/>
        </w:rPr>
        <w:t>两个阶段。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仿宋" w:eastAsia="仿宋" w:cs="Times New Roman"/>
          <w:bCs/>
          <w:color w:val="auto"/>
          <w:sz w:val="32"/>
          <w:szCs w:val="32"/>
          <w:highlight w:val="none"/>
          <w:lang w:val="en-US" w:eastAsia="zh-CN"/>
        </w:rPr>
      </w:pPr>
      <w:r>
        <w:rPr>
          <w:rFonts w:hint="eastAsia" w:ascii="Times New Roman" w:hAnsi="仿宋" w:eastAsia="仿宋" w:cs="Times New Roman"/>
          <w:color w:val="auto"/>
          <w:sz w:val="32"/>
          <w:szCs w:val="32"/>
          <w:highlight w:val="none"/>
          <w:lang w:val="en-US" w:eastAsia="zh-CN"/>
        </w:rPr>
        <w:t>项目建设期</w:t>
      </w:r>
      <w:r>
        <w:rPr>
          <w:rFonts w:hint="eastAsia" w:ascii="Times New Roman" w:hAnsi="仿宋" w:eastAsia="仿宋" w:cs="Times New Roman"/>
          <w:color w:val="auto"/>
          <w:sz w:val="32"/>
          <w:szCs w:val="32"/>
          <w:highlight w:val="none"/>
        </w:rPr>
        <w:t>阶段：从</w:t>
      </w:r>
      <w:r>
        <w:rPr>
          <w:rFonts w:hint="eastAsia" w:ascii="Times New Roman" w:hAnsi="仿宋" w:eastAsia="仿宋" w:cs="Times New Roman"/>
          <w:color w:val="auto"/>
          <w:sz w:val="32"/>
          <w:szCs w:val="32"/>
          <w:highlight w:val="none"/>
          <w:u w:val="single"/>
          <w:lang w:val="en-US" w:eastAsia="zh-CN"/>
        </w:rPr>
        <w:t xml:space="preserve">    </w:t>
      </w:r>
      <w:r>
        <w:rPr>
          <w:rFonts w:hint="eastAsia" w:ascii="Times New Roman" w:hAnsi="仿宋" w:eastAsia="仿宋" w:cs="Times New Roman"/>
          <w:color w:val="auto"/>
          <w:sz w:val="32"/>
          <w:szCs w:val="32"/>
          <w:highlight w:val="none"/>
          <w:u w:val="single"/>
        </w:rPr>
        <w:t xml:space="preserve">年 </w:t>
      </w:r>
      <w:r>
        <w:rPr>
          <w:rFonts w:hint="eastAsia" w:ascii="Times New Roman" w:hAnsi="仿宋" w:eastAsia="仿宋" w:cs="Times New Roman"/>
          <w:color w:val="auto"/>
          <w:sz w:val="32"/>
          <w:szCs w:val="32"/>
          <w:highlight w:val="none"/>
          <w:u w:val="single"/>
          <w:lang w:val="en-US" w:eastAsia="zh-CN"/>
        </w:rPr>
        <w:t xml:space="preserve"> </w:t>
      </w:r>
      <w:r>
        <w:rPr>
          <w:rFonts w:hint="eastAsia" w:ascii="Times New Roman" w:hAnsi="仿宋" w:eastAsia="仿宋" w:cs="Times New Roman"/>
          <w:color w:val="auto"/>
          <w:sz w:val="32"/>
          <w:szCs w:val="32"/>
          <w:highlight w:val="none"/>
          <w:u w:val="single"/>
        </w:rPr>
        <w:t xml:space="preserve">月  </w:t>
      </w:r>
      <w:r>
        <w:rPr>
          <w:rFonts w:hint="eastAsia" w:ascii="Times New Roman" w:hAnsi="仿宋" w:eastAsia="仿宋" w:cs="Times New Roman"/>
          <w:color w:val="auto"/>
          <w:sz w:val="32"/>
          <w:szCs w:val="32"/>
          <w:highlight w:val="none"/>
          <w:u w:val="single"/>
          <w:lang w:val="en-US" w:eastAsia="zh-CN"/>
        </w:rPr>
        <w:t>日</w:t>
      </w:r>
      <w:r>
        <w:rPr>
          <w:rFonts w:hint="eastAsia" w:ascii="Times New Roman" w:hAnsi="仿宋" w:eastAsia="仿宋" w:cs="Times New Roman"/>
          <w:color w:val="auto"/>
          <w:sz w:val="32"/>
          <w:szCs w:val="32"/>
          <w:highlight w:val="none"/>
          <w:u w:val="single"/>
        </w:rPr>
        <w:t>起至</w:t>
      </w:r>
      <w:r>
        <w:rPr>
          <w:rFonts w:hint="eastAsia" w:ascii="Times New Roman" w:hAnsi="仿宋" w:eastAsia="仿宋" w:cs="Times New Roman"/>
          <w:color w:val="auto"/>
          <w:sz w:val="32"/>
          <w:szCs w:val="32"/>
          <w:highlight w:val="none"/>
          <w:u w:val="single"/>
          <w:lang w:val="en-US" w:eastAsia="zh-CN"/>
        </w:rPr>
        <w:t xml:space="preserve">   </w:t>
      </w:r>
      <w:r>
        <w:rPr>
          <w:rFonts w:hint="eastAsia" w:ascii="Times New Roman" w:hAnsi="仿宋" w:eastAsia="仿宋" w:cs="Times New Roman"/>
          <w:color w:val="auto"/>
          <w:sz w:val="32"/>
          <w:szCs w:val="32"/>
          <w:highlight w:val="none"/>
          <w:u w:val="single"/>
        </w:rPr>
        <w:t>年  月  日</w:t>
      </w:r>
      <w:r>
        <w:rPr>
          <w:rFonts w:hint="eastAsia" w:ascii="Times New Roman" w:hAnsi="仿宋" w:eastAsia="仿宋" w:cs="Times New Roman"/>
          <w:color w:val="auto"/>
          <w:sz w:val="32"/>
          <w:szCs w:val="32"/>
          <w:highlight w:val="none"/>
        </w:rPr>
        <w:t>止，为期</w:t>
      </w:r>
      <w:r>
        <w:rPr>
          <w:rFonts w:hint="eastAsia" w:ascii="Times New Roman" w:hAnsi="仿宋" w:eastAsia="仿宋" w:cs="Times New Roman"/>
          <w:color w:val="auto"/>
          <w:sz w:val="32"/>
          <w:szCs w:val="32"/>
          <w:highlight w:val="none"/>
          <w:lang w:val="en-US" w:eastAsia="zh-CN"/>
        </w:rPr>
        <w:t>1</w:t>
      </w:r>
      <w:r>
        <w:rPr>
          <w:rFonts w:hint="eastAsia" w:ascii="Times New Roman" w:hAnsi="仿宋" w:eastAsia="仿宋" w:cs="Times New Roman"/>
          <w:color w:val="auto"/>
          <w:sz w:val="32"/>
          <w:szCs w:val="32"/>
          <w:highlight w:val="none"/>
        </w:rPr>
        <w:t>个月，</w:t>
      </w:r>
      <w:r>
        <w:rPr>
          <w:rFonts w:ascii="Times New Roman" w:hAnsi="仿宋" w:eastAsia="仿宋" w:cs="Times New Roman"/>
          <w:bCs/>
          <w:color w:val="auto"/>
          <w:sz w:val="32"/>
          <w:szCs w:val="32"/>
          <w:highlight w:val="none"/>
        </w:rPr>
        <w:t>在此期间内</w:t>
      </w:r>
      <w:r>
        <w:rPr>
          <w:rFonts w:hint="eastAsia" w:ascii="Times New Roman" w:hAnsi="仿宋" w:eastAsia="仿宋" w:cs="Times New Roman"/>
          <w:bCs/>
          <w:color w:val="auto"/>
          <w:sz w:val="32"/>
          <w:szCs w:val="32"/>
          <w:highlight w:val="none"/>
          <w:lang w:val="en-US" w:eastAsia="zh-CN"/>
        </w:rPr>
        <w:t>完成组织架构搭建、用户配置、管理人员设置、专属页面设置等服务内容，制作操作使用手册，包括用户使用指南、后台管理员操作指南、专属客服（工作人员）联系方式，根据工作需求对广西农合机构员工进行培训。完成以上服务内容并满足正常开放使用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Times New Roman" w:hAnsi="仿宋" w:eastAsia="仿宋" w:cs="Times New Roman"/>
          <w:bCs/>
          <w:color w:val="auto"/>
          <w:sz w:val="32"/>
          <w:szCs w:val="32"/>
          <w:highlight w:val="none"/>
        </w:rPr>
      </w:pPr>
      <w:r>
        <w:rPr>
          <w:rFonts w:hint="eastAsia" w:ascii="Times New Roman" w:hAnsi="仿宋" w:eastAsia="仿宋" w:cs="Times New Roman"/>
          <w:bCs/>
          <w:color w:val="auto"/>
          <w:sz w:val="32"/>
          <w:szCs w:val="32"/>
          <w:highlight w:val="none"/>
          <w:lang w:val="en-US" w:eastAsia="zh-CN"/>
        </w:rPr>
        <w:t>项目服务期</w:t>
      </w:r>
      <w:r>
        <w:rPr>
          <w:rFonts w:hint="eastAsia" w:ascii="Times New Roman" w:hAnsi="仿宋" w:eastAsia="仿宋" w:cs="Times New Roman"/>
          <w:bCs/>
          <w:color w:val="auto"/>
          <w:sz w:val="32"/>
          <w:szCs w:val="32"/>
          <w:highlight w:val="none"/>
        </w:rPr>
        <w:t>阶段：自乙方将</w:t>
      </w:r>
      <w:r>
        <w:rPr>
          <w:rFonts w:hint="eastAsia" w:ascii="Times New Roman" w:hAnsi="仿宋" w:eastAsia="仿宋" w:cs="Times New Roman"/>
          <w:bCs/>
          <w:color w:val="auto"/>
          <w:sz w:val="32"/>
          <w:szCs w:val="32"/>
          <w:highlight w:val="none"/>
          <w:lang w:val="en-US" w:eastAsia="zh-CN"/>
        </w:rPr>
        <w:t>项目建设期服务内容完成并</w:t>
      </w:r>
      <w:r>
        <w:rPr>
          <w:rFonts w:hint="eastAsia" w:ascii="Times New Roman" w:hAnsi="仿宋" w:eastAsia="仿宋" w:cs="Times New Roman"/>
          <w:bCs/>
          <w:color w:val="auto"/>
          <w:sz w:val="32"/>
          <w:szCs w:val="32"/>
          <w:highlight w:val="none"/>
        </w:rPr>
        <w:t>交付甲方验收确认之日起，服务期限原则上不少于</w:t>
      </w:r>
      <w:r>
        <w:rPr>
          <w:rFonts w:hint="eastAsia" w:ascii="Times New Roman" w:hAnsi="仿宋" w:eastAsia="仿宋" w:cs="Times New Roman"/>
          <w:bCs/>
          <w:color w:val="auto"/>
          <w:sz w:val="32"/>
          <w:szCs w:val="32"/>
          <w:highlight w:val="none"/>
          <w:lang w:val="en-US" w:eastAsia="zh-CN"/>
        </w:rPr>
        <w:t>23</w:t>
      </w:r>
      <w:r>
        <w:rPr>
          <w:rFonts w:hint="eastAsia" w:ascii="Times New Roman" w:hAnsi="仿宋" w:eastAsia="仿宋" w:cs="Times New Roman"/>
          <w:bCs/>
          <w:color w:val="auto"/>
          <w:sz w:val="32"/>
          <w:szCs w:val="32"/>
          <w:highlight w:val="none"/>
        </w:rPr>
        <w:t>个月，</w:t>
      </w:r>
      <w:r>
        <w:rPr>
          <w:rFonts w:ascii="Times New Roman" w:hAnsi="仿宋" w:eastAsia="仿宋" w:cs="Times New Roman"/>
          <w:bCs/>
          <w:color w:val="auto"/>
          <w:sz w:val="32"/>
          <w:szCs w:val="32"/>
          <w:highlight w:val="none"/>
        </w:rPr>
        <w:t>在此期间</w:t>
      </w:r>
      <w:r>
        <w:rPr>
          <w:rFonts w:hint="eastAsia" w:ascii="Times New Roman" w:hAnsi="仿宋" w:eastAsia="仿宋" w:cs="Times New Roman"/>
          <w:bCs/>
          <w:color w:val="auto"/>
          <w:sz w:val="32"/>
          <w:szCs w:val="32"/>
          <w:highlight w:val="none"/>
        </w:rPr>
        <w:t>，乙方</w:t>
      </w:r>
      <w:r>
        <w:rPr>
          <w:rFonts w:ascii="Times New Roman" w:hAnsi="仿宋" w:eastAsia="仿宋" w:cs="Times New Roman"/>
          <w:bCs/>
          <w:color w:val="auto"/>
          <w:sz w:val="32"/>
          <w:szCs w:val="32"/>
          <w:highlight w:val="none"/>
        </w:rPr>
        <w:t>根据</w:t>
      </w:r>
      <w:r>
        <w:rPr>
          <w:rFonts w:hint="eastAsia" w:ascii="Times New Roman" w:hAnsi="仿宋" w:eastAsia="仿宋" w:cs="Times New Roman"/>
          <w:bCs/>
          <w:color w:val="auto"/>
          <w:sz w:val="32"/>
          <w:szCs w:val="32"/>
          <w:highlight w:val="none"/>
        </w:rPr>
        <w:t>甲方</w:t>
      </w:r>
      <w:r>
        <w:rPr>
          <w:rFonts w:ascii="Times New Roman" w:hAnsi="仿宋" w:eastAsia="仿宋" w:cs="Times New Roman"/>
          <w:bCs/>
          <w:color w:val="auto"/>
          <w:sz w:val="32"/>
          <w:szCs w:val="32"/>
          <w:highlight w:val="none"/>
        </w:rPr>
        <w:t>需要，提供必要的跟踪、指导、辅导、</w:t>
      </w:r>
      <w:r>
        <w:rPr>
          <w:rFonts w:hint="eastAsia" w:ascii="Times New Roman" w:hAnsi="仿宋" w:eastAsia="仿宋" w:cs="Times New Roman"/>
          <w:bCs/>
          <w:color w:val="auto"/>
          <w:sz w:val="32"/>
          <w:szCs w:val="32"/>
          <w:highlight w:val="none"/>
        </w:rPr>
        <w:t>培训</w:t>
      </w:r>
      <w:r>
        <w:rPr>
          <w:rFonts w:hint="eastAsia" w:ascii="Times New Roman" w:hAnsi="仿宋" w:eastAsia="仿宋" w:cs="Times New Roman"/>
          <w:bCs/>
          <w:color w:val="auto"/>
          <w:sz w:val="32"/>
          <w:szCs w:val="32"/>
          <w:highlight w:val="none"/>
          <w:lang w:val="en-US" w:eastAsia="zh-CN"/>
        </w:rPr>
        <w:t>等服务</w:t>
      </w:r>
      <w:r>
        <w:rPr>
          <w:rFonts w:ascii="Times New Roman" w:hAnsi="仿宋" w:eastAsia="仿宋" w:cs="Times New Roman"/>
          <w:bCs/>
          <w:color w:val="auto"/>
          <w:sz w:val="32"/>
          <w:szCs w:val="32"/>
          <w:highlight w:val="none"/>
        </w:rPr>
        <w:t>，</w:t>
      </w:r>
      <w:r>
        <w:rPr>
          <w:rFonts w:hint="eastAsia" w:ascii="Times New Roman" w:hAnsi="仿宋" w:eastAsia="仿宋" w:cs="Times New Roman"/>
          <w:bCs/>
          <w:color w:val="auto"/>
          <w:sz w:val="32"/>
          <w:szCs w:val="32"/>
          <w:highlight w:val="none"/>
        </w:rPr>
        <w:t>乙方</w:t>
      </w:r>
      <w:r>
        <w:rPr>
          <w:rFonts w:ascii="Times New Roman" w:hAnsi="仿宋" w:eastAsia="仿宋" w:cs="Times New Roman"/>
          <w:bCs/>
          <w:color w:val="auto"/>
          <w:sz w:val="32"/>
          <w:szCs w:val="32"/>
          <w:highlight w:val="none"/>
        </w:rPr>
        <w:t>需</w:t>
      </w:r>
      <w:r>
        <w:rPr>
          <w:rFonts w:hint="eastAsia" w:ascii="Times New Roman" w:hAnsi="仿宋" w:eastAsia="仿宋" w:cs="Times New Roman"/>
          <w:bCs/>
          <w:color w:val="auto"/>
          <w:sz w:val="32"/>
          <w:szCs w:val="32"/>
          <w:highlight w:val="none"/>
        </w:rPr>
        <w:t>安排专门人员</w:t>
      </w:r>
      <w:r>
        <w:rPr>
          <w:rFonts w:ascii="Times New Roman" w:hAnsi="仿宋" w:eastAsia="仿宋" w:cs="Times New Roman"/>
          <w:bCs/>
          <w:color w:val="auto"/>
          <w:sz w:val="32"/>
          <w:szCs w:val="32"/>
          <w:highlight w:val="none"/>
        </w:rPr>
        <w:t>提供</w:t>
      </w:r>
      <w:r>
        <w:rPr>
          <w:rFonts w:hint="eastAsia" w:ascii="Times New Roman" w:hAnsi="仿宋" w:eastAsia="仿宋" w:cs="Times New Roman"/>
          <w:bCs/>
          <w:color w:val="auto"/>
          <w:sz w:val="32"/>
          <w:szCs w:val="32"/>
          <w:highlight w:val="none"/>
          <w:lang w:val="en-US" w:eastAsia="zh-CN"/>
        </w:rPr>
        <w:t>现场培训或远程指导服务，</w:t>
      </w:r>
      <w:r>
        <w:rPr>
          <w:rFonts w:ascii="Times New Roman" w:hAnsi="仿宋" w:eastAsia="仿宋" w:cs="Times New Roman"/>
          <w:bCs/>
          <w:color w:val="auto"/>
          <w:sz w:val="32"/>
          <w:szCs w:val="32"/>
          <w:highlight w:val="none"/>
        </w:rPr>
        <w:t>使项目成果得到良好</w:t>
      </w:r>
      <w:r>
        <w:rPr>
          <w:rFonts w:hint="eastAsia" w:ascii="Times New Roman" w:hAnsi="仿宋" w:eastAsia="仿宋" w:cs="Times New Roman"/>
          <w:bCs/>
          <w:color w:val="auto"/>
          <w:sz w:val="32"/>
          <w:szCs w:val="32"/>
          <w:highlight w:val="none"/>
        </w:rPr>
        <w:t>有效</w:t>
      </w:r>
      <w:r>
        <w:rPr>
          <w:rFonts w:ascii="Times New Roman" w:hAnsi="仿宋" w:eastAsia="仿宋" w:cs="Times New Roman"/>
          <w:bCs/>
          <w:color w:val="auto"/>
          <w:sz w:val="32"/>
          <w:szCs w:val="32"/>
          <w:highlight w:val="none"/>
        </w:rPr>
        <w:t>利用</w:t>
      </w:r>
      <w:r>
        <w:rPr>
          <w:rFonts w:hint="eastAsia" w:ascii="Times New Roman" w:hAnsi="仿宋" w:eastAsia="仿宋" w:cs="Times New Roman"/>
          <w:bCs/>
          <w:color w:val="auto"/>
          <w:sz w:val="32"/>
          <w:szCs w:val="32"/>
          <w:highlight w:val="none"/>
        </w:rPr>
        <w:t>，日常功能均能正常使用，包括平台使用管理、自制课程编辑上传、考试管理、学员管理等。如受政策变化、疫情、灾害等不可控的客观因素影响，甲乙双方在协商一致的前提下，可适当延长</w:t>
      </w:r>
      <w:r>
        <w:rPr>
          <w:rFonts w:hint="eastAsia" w:ascii="Times New Roman" w:hAnsi="仿宋" w:eastAsia="仿宋" w:cs="Times New Roman"/>
          <w:bCs/>
          <w:color w:val="auto"/>
          <w:sz w:val="32"/>
          <w:szCs w:val="32"/>
          <w:highlight w:val="none"/>
          <w:lang w:val="en-US" w:eastAsia="zh-CN"/>
        </w:rPr>
        <w:t>项目服务期</w:t>
      </w:r>
      <w:r>
        <w:rPr>
          <w:rFonts w:hint="eastAsia" w:ascii="Times New Roman" w:hAnsi="仿宋" w:eastAsia="仿宋" w:cs="Times New Roman"/>
          <w:bCs/>
          <w:color w:val="auto"/>
          <w:sz w:val="32"/>
          <w:szCs w:val="32"/>
          <w:highlight w:val="none"/>
        </w:rPr>
        <w:t>的期限，甲方不另行支付服务费用。</w:t>
      </w:r>
    </w:p>
    <w:p>
      <w:pPr>
        <w:adjustRightInd w:val="0"/>
        <w:spacing w:line="540" w:lineRule="exact"/>
        <w:ind w:firstLine="640" w:firstLineChars="200"/>
        <w:jc w:val="left"/>
        <w:textAlignment w:val="baseline"/>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以上合同价格已经包含全部项目内容所发生的一切费用，包括但不限于</w:t>
      </w:r>
      <w:r>
        <w:rPr>
          <w:rFonts w:hint="eastAsia" w:ascii="Times New Roman" w:hAnsi="仿宋" w:eastAsia="仿宋" w:cs="Times New Roman"/>
          <w:color w:val="auto"/>
          <w:sz w:val="32"/>
          <w:szCs w:val="32"/>
          <w:highlight w:val="none"/>
        </w:rPr>
        <w:t>乙方</w:t>
      </w:r>
      <w:r>
        <w:rPr>
          <w:rFonts w:ascii="Times New Roman" w:hAnsi="仿宋" w:eastAsia="仿宋" w:cs="Times New Roman"/>
          <w:color w:val="auto"/>
          <w:sz w:val="32"/>
          <w:szCs w:val="32"/>
          <w:highlight w:val="none"/>
        </w:rPr>
        <w:t>在开展</w:t>
      </w:r>
      <w:r>
        <w:rPr>
          <w:rFonts w:hint="eastAsia" w:ascii="Times New Roman" w:hAnsi="仿宋" w:eastAsia="仿宋" w:cs="Times New Roman"/>
          <w:color w:val="auto"/>
          <w:sz w:val="32"/>
          <w:szCs w:val="32"/>
          <w:highlight w:val="none"/>
          <w:lang w:val="en-US" w:eastAsia="zh-CN"/>
        </w:rPr>
        <w:t>项目建设期、服务期等</w:t>
      </w:r>
      <w:r>
        <w:rPr>
          <w:rFonts w:ascii="Times New Roman" w:hAnsi="仿宋" w:eastAsia="仿宋" w:cs="Times New Roman"/>
          <w:color w:val="auto"/>
          <w:sz w:val="32"/>
          <w:szCs w:val="32"/>
          <w:highlight w:val="none"/>
        </w:rPr>
        <w:t>阶段工作中一切内外</w:t>
      </w:r>
      <w:r>
        <w:rPr>
          <w:rFonts w:hint="eastAsia" w:ascii="Times New Roman" w:hAnsi="仿宋" w:eastAsia="仿宋" w:cs="Times New Roman"/>
          <w:color w:val="auto"/>
          <w:sz w:val="32"/>
          <w:szCs w:val="32"/>
          <w:highlight w:val="none"/>
        </w:rPr>
        <w:t>沟通</w:t>
      </w:r>
      <w:r>
        <w:rPr>
          <w:rFonts w:ascii="Times New Roman" w:hAnsi="仿宋" w:eastAsia="仿宋" w:cs="Times New Roman"/>
          <w:color w:val="auto"/>
          <w:sz w:val="32"/>
          <w:szCs w:val="32"/>
          <w:highlight w:val="none"/>
        </w:rPr>
        <w:t>协调及调研费用、优化方案过程及项目成果落地所需一切费用，</w:t>
      </w:r>
      <w:r>
        <w:rPr>
          <w:rFonts w:hint="eastAsia" w:ascii="Times New Roman" w:hAnsi="仿宋" w:eastAsia="仿宋" w:cs="Times New Roman"/>
          <w:color w:val="auto"/>
          <w:sz w:val="32"/>
          <w:szCs w:val="32"/>
          <w:highlight w:val="none"/>
          <w:lang w:val="en-US" w:eastAsia="zh-CN"/>
        </w:rPr>
        <w:t>培训指导</w:t>
      </w:r>
      <w:r>
        <w:rPr>
          <w:rFonts w:ascii="Times New Roman" w:hAnsi="仿宋" w:eastAsia="仿宋" w:cs="Times New Roman"/>
          <w:color w:val="auto"/>
          <w:sz w:val="32"/>
          <w:szCs w:val="32"/>
          <w:highlight w:val="none"/>
        </w:rPr>
        <w:t>服务必要报酬、食宿、差旅、交通等一切费用。</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 xml:space="preserve">3.2 </w:t>
      </w:r>
      <w:r>
        <w:rPr>
          <w:rFonts w:ascii="Times New Roman" w:hAnsi="仿宋" w:eastAsia="仿宋" w:cs="Times New Roman"/>
          <w:color w:val="auto"/>
          <w:sz w:val="32"/>
          <w:szCs w:val="32"/>
          <w:highlight w:val="none"/>
        </w:rPr>
        <w:t>支付方式</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分</w:t>
      </w:r>
      <w:r>
        <w:rPr>
          <w:rFonts w:hint="eastAsia" w:ascii="Times New Roman" w:hAnsi="仿宋" w:eastAsia="仿宋" w:cs="Times New Roman"/>
          <w:color w:val="auto"/>
          <w:sz w:val="32"/>
          <w:szCs w:val="32"/>
          <w:highlight w:val="none"/>
          <w:u w:val="single"/>
          <w:lang w:val="en-US" w:eastAsia="zh-CN"/>
        </w:rPr>
        <w:t xml:space="preserve">    </w:t>
      </w:r>
      <w:r>
        <w:rPr>
          <w:rFonts w:ascii="Times New Roman" w:hAnsi="仿宋" w:eastAsia="仿宋" w:cs="Times New Roman"/>
          <w:color w:val="auto"/>
          <w:sz w:val="32"/>
          <w:szCs w:val="32"/>
          <w:highlight w:val="none"/>
        </w:rPr>
        <w:t>期进行支付：</w:t>
      </w:r>
    </w:p>
    <w:p>
      <w:pPr>
        <w:spacing w:line="540" w:lineRule="exact"/>
        <w:ind w:firstLine="640" w:firstLineChars="200"/>
        <w:rPr>
          <w:rFonts w:ascii="Times New Roman" w:hAnsi="Times New Roman" w:eastAsia="仿宋" w:cs="Times New Roman"/>
          <w:color w:val="auto"/>
          <w:sz w:val="32"/>
          <w:szCs w:val="32"/>
          <w:highlight w:val="none"/>
          <w:u w:val="single"/>
        </w:rPr>
      </w:pPr>
      <w:r>
        <w:rPr>
          <w:rFonts w:ascii="Times New Roman" w:hAnsi="仿宋" w:eastAsia="仿宋" w:cs="Times New Roman"/>
          <w:color w:val="auto"/>
          <w:sz w:val="32"/>
          <w:szCs w:val="32"/>
          <w:highlight w:val="none"/>
        </w:rPr>
        <w:t>第一期：</w:t>
      </w:r>
      <w:r>
        <w:rPr>
          <w:rFonts w:ascii="Times New Roman" w:hAnsi="仿宋" w:eastAsia="仿宋" w:cs="Times New Roman"/>
          <w:bCs/>
          <w:color w:val="auto"/>
          <w:sz w:val="32"/>
          <w:szCs w:val="32"/>
          <w:highlight w:val="none"/>
        </w:rPr>
        <w:t>合同签订生效，在</w:t>
      </w:r>
      <w:r>
        <w:rPr>
          <w:rFonts w:ascii="Times New Roman" w:hAnsi="仿宋" w:eastAsia="仿宋" w:cs="Times New Roman"/>
          <w:color w:val="auto"/>
          <w:sz w:val="32"/>
          <w:szCs w:val="32"/>
          <w:highlight w:val="none"/>
        </w:rPr>
        <w:t>收到乙方出具的增值税专用发票及相关付款资料</w:t>
      </w:r>
      <w:r>
        <w:rPr>
          <w:rFonts w:ascii="Times New Roman" w:hAnsi="仿宋" w:eastAsia="仿宋" w:cs="Times New Roman"/>
          <w:bCs/>
          <w:color w:val="auto"/>
          <w:sz w:val="32"/>
          <w:szCs w:val="32"/>
          <w:highlight w:val="none"/>
        </w:rPr>
        <w:t>后</w:t>
      </w:r>
      <w:r>
        <w:rPr>
          <w:rFonts w:ascii="Times New Roman" w:hAnsi="Times New Roman" w:eastAsia="仿宋" w:cs="Times New Roman"/>
          <w:bCs/>
          <w:color w:val="auto"/>
          <w:sz w:val="32"/>
          <w:szCs w:val="32"/>
          <w:highlight w:val="none"/>
          <w:u w:val="single"/>
        </w:rPr>
        <w:t xml:space="preserve"> </w:t>
      </w:r>
      <w:r>
        <w:rPr>
          <w:rFonts w:hint="eastAsia" w:ascii="Times New Roman" w:hAnsi="Times New Roman" w:eastAsia="仿宋" w:cs="Times New Roman"/>
          <w:bCs/>
          <w:color w:val="auto"/>
          <w:sz w:val="32"/>
          <w:szCs w:val="32"/>
          <w:highlight w:val="none"/>
          <w:u w:val="single"/>
          <w:lang w:val="en-US" w:eastAsia="zh-CN"/>
        </w:rPr>
        <w:t xml:space="preserve">   </w:t>
      </w:r>
      <w:r>
        <w:rPr>
          <w:rFonts w:ascii="Times New Roman" w:hAnsi="Times New Roman" w:eastAsia="仿宋" w:cs="Times New Roman"/>
          <w:bCs/>
          <w:color w:val="auto"/>
          <w:sz w:val="32"/>
          <w:szCs w:val="32"/>
          <w:highlight w:val="none"/>
          <w:u w:val="single"/>
        </w:rPr>
        <w:t xml:space="preserve"> </w:t>
      </w:r>
      <w:r>
        <w:rPr>
          <w:rFonts w:ascii="Times New Roman" w:hAnsi="仿宋" w:eastAsia="仿宋" w:cs="Times New Roman"/>
          <w:bCs/>
          <w:color w:val="auto"/>
          <w:sz w:val="32"/>
          <w:szCs w:val="32"/>
          <w:highlight w:val="none"/>
        </w:rPr>
        <w:t>个工作日内，甲方支付合同价款的</w:t>
      </w:r>
      <w:r>
        <w:rPr>
          <w:rFonts w:ascii="Times New Roman" w:hAnsi="Times New Roman" w:eastAsia="仿宋" w:cs="Times New Roman"/>
          <w:bCs/>
          <w:color w:val="auto"/>
          <w:sz w:val="32"/>
          <w:szCs w:val="32"/>
          <w:highlight w:val="none"/>
        </w:rPr>
        <w:t>20%</w:t>
      </w:r>
      <w:r>
        <w:rPr>
          <w:rFonts w:ascii="Times New Roman" w:hAnsi="仿宋" w:eastAsia="仿宋" w:cs="Times New Roman"/>
          <w:bCs/>
          <w:color w:val="auto"/>
          <w:sz w:val="32"/>
          <w:szCs w:val="32"/>
          <w:highlight w:val="none"/>
        </w:rPr>
        <w:t>作为首付款，即</w:t>
      </w:r>
      <w:r>
        <w:rPr>
          <w:rFonts w:ascii="Times New Roman" w:hAnsi="仿宋" w:eastAsia="仿宋" w:cs="Times New Roman"/>
          <w:bCs/>
          <w:color w:val="auto"/>
          <w:sz w:val="32"/>
          <w:szCs w:val="32"/>
          <w:highlight w:val="none"/>
          <w:u w:val="single"/>
        </w:rPr>
        <w:t>人民币</w:t>
      </w:r>
      <w:r>
        <w:rPr>
          <w:rFonts w:hint="eastAsia" w:ascii="Times New Roman" w:hAnsi="仿宋" w:eastAsia="仿宋" w:cs="Times New Roman"/>
          <w:bCs/>
          <w:color w:val="auto"/>
          <w:sz w:val="32"/>
          <w:szCs w:val="32"/>
          <w:highlight w:val="none"/>
          <w:u w:val="single"/>
          <w:lang w:val="en-US" w:eastAsia="zh-CN"/>
        </w:rPr>
        <w:t xml:space="preserve">    </w:t>
      </w:r>
      <w:r>
        <w:rPr>
          <w:rFonts w:ascii="Times New Roman" w:hAnsi="仿宋" w:eastAsia="仿宋" w:cs="Times New Roman"/>
          <w:bCs/>
          <w:color w:val="auto"/>
          <w:sz w:val="32"/>
          <w:szCs w:val="32"/>
          <w:highlight w:val="none"/>
          <w:u w:val="single"/>
        </w:rPr>
        <w:t>万元整（小写：</w:t>
      </w:r>
      <w:r>
        <w:rPr>
          <w:rFonts w:hint="eastAsia" w:ascii="Times New Roman" w:hAnsi="仿宋" w:eastAsia="仿宋" w:cs="Times New Roman"/>
          <w:color w:val="auto"/>
          <w:sz w:val="32"/>
          <w:szCs w:val="32"/>
          <w:highlight w:val="none"/>
          <w:u w:val="single"/>
          <w:lang w:eastAsia="zh-CN"/>
        </w:rPr>
        <w:t>¥</w:t>
      </w:r>
      <w:r>
        <w:rPr>
          <w:rFonts w:hint="eastAsia" w:ascii="Times New Roman" w:hAnsi="Times New Roman" w:eastAsia="仿宋" w:cs="Times New Roman"/>
          <w:bCs/>
          <w:color w:val="auto"/>
          <w:sz w:val="32"/>
          <w:szCs w:val="32"/>
          <w:highlight w:val="none"/>
          <w:u w:val="single"/>
          <w:lang w:val="en-US" w:eastAsia="zh-CN"/>
        </w:rPr>
        <w:t xml:space="preserve">     </w:t>
      </w:r>
      <w:r>
        <w:rPr>
          <w:rFonts w:hint="eastAsia" w:ascii="Times New Roman" w:hAnsi="Times New Roman" w:eastAsia="仿宋" w:cs="Times New Roman"/>
          <w:bCs/>
          <w:color w:val="auto"/>
          <w:sz w:val="32"/>
          <w:szCs w:val="32"/>
          <w:highlight w:val="none"/>
          <w:u w:val="single"/>
        </w:rPr>
        <w:t>元</w:t>
      </w:r>
      <w:r>
        <w:rPr>
          <w:rFonts w:ascii="Times New Roman" w:hAnsi="仿宋" w:eastAsia="仿宋" w:cs="Times New Roman"/>
          <w:bCs/>
          <w:color w:val="auto"/>
          <w:sz w:val="32"/>
          <w:szCs w:val="32"/>
          <w:highlight w:val="none"/>
          <w:u w:val="single"/>
        </w:rPr>
        <w:t>）</w:t>
      </w:r>
    </w:p>
    <w:p>
      <w:pPr>
        <w:spacing w:line="540" w:lineRule="exact"/>
        <w:ind w:firstLine="640" w:firstLineChars="200"/>
        <w:rPr>
          <w:rFonts w:ascii="Times New Roman" w:hAnsi="Times New Roman" w:eastAsia="仿宋" w:cs="Times New Roman"/>
          <w:b/>
          <w:color w:val="auto"/>
          <w:sz w:val="32"/>
          <w:szCs w:val="32"/>
          <w:highlight w:val="none"/>
        </w:rPr>
      </w:pPr>
      <w:r>
        <w:rPr>
          <w:rFonts w:ascii="Times New Roman" w:hAnsi="仿宋" w:eastAsia="仿宋" w:cs="Times New Roman"/>
          <w:bCs/>
          <w:color w:val="auto"/>
          <w:sz w:val="32"/>
          <w:szCs w:val="32"/>
          <w:highlight w:val="none"/>
        </w:rPr>
        <w:t>第二期：完成</w:t>
      </w:r>
      <w:r>
        <w:rPr>
          <w:rFonts w:hint="eastAsia" w:ascii="Times New Roman" w:hAnsi="仿宋" w:eastAsia="仿宋" w:cs="Times New Roman"/>
          <w:bCs/>
          <w:color w:val="auto"/>
          <w:sz w:val="32"/>
          <w:szCs w:val="32"/>
          <w:highlight w:val="none"/>
          <w:lang w:val="en-US" w:eastAsia="zh-CN"/>
        </w:rPr>
        <w:t>项目建设期有关服务工作</w:t>
      </w:r>
      <w:r>
        <w:rPr>
          <w:rFonts w:ascii="Times New Roman" w:hAnsi="仿宋" w:eastAsia="仿宋" w:cs="Times New Roman"/>
          <w:bCs/>
          <w:color w:val="auto"/>
          <w:sz w:val="32"/>
          <w:szCs w:val="32"/>
          <w:highlight w:val="none"/>
        </w:rPr>
        <w:t>，经甲方验收通过</w:t>
      </w:r>
      <w:r>
        <w:rPr>
          <w:rFonts w:hint="eastAsia" w:ascii="Times New Roman" w:hAnsi="仿宋" w:eastAsia="仿宋" w:cs="Times New Roman"/>
          <w:bCs/>
          <w:color w:val="auto"/>
          <w:sz w:val="32"/>
          <w:szCs w:val="32"/>
          <w:highlight w:val="none"/>
        </w:rPr>
        <w:t>后</w:t>
      </w:r>
      <w:r>
        <w:rPr>
          <w:rFonts w:ascii="Times New Roman" w:hAnsi="仿宋" w:eastAsia="仿宋" w:cs="Times New Roman"/>
          <w:bCs/>
          <w:color w:val="auto"/>
          <w:sz w:val="32"/>
          <w:szCs w:val="32"/>
          <w:highlight w:val="none"/>
        </w:rPr>
        <w:t>，</w:t>
      </w:r>
      <w:r>
        <w:rPr>
          <w:rFonts w:ascii="Times New Roman" w:hAnsi="仿宋" w:eastAsia="仿宋" w:cs="Times New Roman"/>
          <w:color w:val="auto"/>
          <w:sz w:val="32"/>
          <w:szCs w:val="32"/>
          <w:highlight w:val="none"/>
        </w:rPr>
        <w:t>乙方出具</w:t>
      </w:r>
      <w:r>
        <w:rPr>
          <w:rFonts w:hint="eastAsia" w:ascii="Times New Roman" w:hAnsi="仿宋" w:eastAsia="仿宋" w:cs="Times New Roman"/>
          <w:color w:val="auto"/>
          <w:sz w:val="32"/>
          <w:szCs w:val="32"/>
          <w:highlight w:val="none"/>
        </w:rPr>
        <w:t>等额有效</w:t>
      </w:r>
      <w:r>
        <w:rPr>
          <w:rFonts w:ascii="Times New Roman" w:hAnsi="仿宋" w:eastAsia="仿宋" w:cs="Times New Roman"/>
          <w:color w:val="auto"/>
          <w:sz w:val="32"/>
          <w:szCs w:val="32"/>
          <w:highlight w:val="none"/>
        </w:rPr>
        <w:t>增值税专用发票及相关</w:t>
      </w:r>
      <w:r>
        <w:rPr>
          <w:rFonts w:hint="eastAsia" w:ascii="Times New Roman" w:hAnsi="仿宋" w:eastAsia="仿宋" w:cs="Times New Roman"/>
          <w:color w:val="auto"/>
          <w:sz w:val="32"/>
          <w:szCs w:val="32"/>
          <w:highlight w:val="none"/>
        </w:rPr>
        <w:t>付款</w:t>
      </w:r>
      <w:r>
        <w:rPr>
          <w:rFonts w:ascii="Times New Roman" w:hAnsi="仿宋" w:eastAsia="仿宋" w:cs="Times New Roman"/>
          <w:color w:val="auto"/>
          <w:sz w:val="32"/>
          <w:szCs w:val="32"/>
          <w:highlight w:val="none"/>
        </w:rPr>
        <w:t>资料</w:t>
      </w:r>
      <w:r>
        <w:rPr>
          <w:rFonts w:hint="eastAsia" w:ascii="Times New Roman" w:hAnsi="仿宋" w:eastAsia="仿宋" w:cs="Times New Roman"/>
          <w:color w:val="auto"/>
          <w:sz w:val="32"/>
          <w:szCs w:val="32"/>
          <w:highlight w:val="none"/>
        </w:rPr>
        <w:t>之日起</w:t>
      </w:r>
      <w:r>
        <w:rPr>
          <w:rFonts w:hint="eastAsia" w:ascii="Times New Roman" w:hAnsi="Times New Roman" w:eastAsia="仿宋" w:cs="Times New Roman"/>
          <w:bCs/>
          <w:color w:val="auto"/>
          <w:sz w:val="32"/>
          <w:szCs w:val="32"/>
          <w:highlight w:val="none"/>
          <w:u w:val="single"/>
          <w:lang w:val="en-US" w:eastAsia="zh-CN"/>
        </w:rPr>
        <w:t xml:space="preserve">    </w:t>
      </w:r>
      <w:r>
        <w:rPr>
          <w:rFonts w:ascii="Times New Roman" w:hAnsi="仿宋" w:eastAsia="仿宋" w:cs="Times New Roman"/>
          <w:bCs/>
          <w:color w:val="auto"/>
          <w:sz w:val="32"/>
          <w:szCs w:val="32"/>
          <w:highlight w:val="none"/>
        </w:rPr>
        <w:t>个</w:t>
      </w:r>
      <w:r>
        <w:rPr>
          <w:rFonts w:ascii="Times New Roman" w:hAnsi="仿宋" w:eastAsia="仿宋" w:cs="Times New Roman"/>
          <w:color w:val="auto"/>
          <w:sz w:val="32"/>
          <w:szCs w:val="32"/>
          <w:highlight w:val="none"/>
          <w:u w:val="single"/>
        </w:rPr>
        <w:t>工作日内，甲方支付合同价</w:t>
      </w:r>
      <w:r>
        <w:rPr>
          <w:rFonts w:hint="eastAsia" w:ascii="Times New Roman" w:hAnsi="仿宋" w:eastAsia="仿宋" w:cs="Times New Roman"/>
          <w:color w:val="auto"/>
          <w:sz w:val="32"/>
          <w:szCs w:val="32"/>
          <w:highlight w:val="none"/>
          <w:u w:val="single"/>
        </w:rPr>
        <w:t>价</w:t>
      </w:r>
      <w:r>
        <w:rPr>
          <w:rFonts w:ascii="Times New Roman" w:hAnsi="仿宋" w:eastAsia="仿宋" w:cs="Times New Roman"/>
          <w:color w:val="auto"/>
          <w:sz w:val="32"/>
          <w:szCs w:val="32"/>
          <w:highlight w:val="none"/>
          <w:u w:val="single"/>
        </w:rPr>
        <w:t>款的</w:t>
      </w:r>
      <w:r>
        <w:rPr>
          <w:rFonts w:hint="eastAsia" w:ascii="Times New Roman" w:hAnsi="Times New Roman" w:eastAsia="仿宋" w:cs="Times New Roman"/>
          <w:color w:val="auto"/>
          <w:sz w:val="32"/>
          <w:szCs w:val="32"/>
          <w:highlight w:val="none"/>
          <w:u w:val="single"/>
          <w:lang w:val="en-US" w:eastAsia="zh-CN"/>
        </w:rPr>
        <w:t>50</w:t>
      </w:r>
      <w:r>
        <w:rPr>
          <w:rFonts w:ascii="Times New Roman" w:hAnsi="Times New Roman" w:eastAsia="仿宋" w:cs="Times New Roman"/>
          <w:color w:val="auto"/>
          <w:sz w:val="32"/>
          <w:szCs w:val="32"/>
          <w:highlight w:val="none"/>
          <w:u w:val="single"/>
        </w:rPr>
        <w:t>%</w:t>
      </w:r>
      <w:r>
        <w:rPr>
          <w:rFonts w:ascii="Times New Roman" w:hAnsi="仿宋" w:eastAsia="仿宋" w:cs="Times New Roman"/>
          <w:color w:val="auto"/>
          <w:sz w:val="32"/>
          <w:szCs w:val="32"/>
          <w:highlight w:val="none"/>
          <w:u w:val="single"/>
        </w:rPr>
        <w:t>，</w:t>
      </w:r>
      <w:r>
        <w:rPr>
          <w:rFonts w:ascii="Times New Roman" w:hAnsi="仿宋" w:eastAsia="仿宋" w:cs="Times New Roman"/>
          <w:color w:val="auto"/>
          <w:sz w:val="32"/>
          <w:szCs w:val="32"/>
          <w:highlight w:val="none"/>
        </w:rPr>
        <w:t>即</w:t>
      </w:r>
      <w:r>
        <w:rPr>
          <w:rFonts w:ascii="Times New Roman" w:hAnsi="仿宋" w:eastAsia="仿宋" w:cs="Times New Roman"/>
          <w:color w:val="auto"/>
          <w:sz w:val="32"/>
          <w:szCs w:val="32"/>
          <w:highlight w:val="none"/>
          <w:u w:val="single"/>
        </w:rPr>
        <w:t>人民币</w:t>
      </w:r>
      <w:r>
        <w:rPr>
          <w:rFonts w:hint="eastAsia" w:ascii="Times New Roman" w:hAnsi="仿宋" w:eastAsia="仿宋" w:cs="Times New Roman"/>
          <w:color w:val="auto"/>
          <w:sz w:val="32"/>
          <w:szCs w:val="32"/>
          <w:highlight w:val="none"/>
          <w:u w:val="single"/>
          <w:lang w:val="en-US" w:eastAsia="zh-CN"/>
        </w:rPr>
        <w:t xml:space="preserve">    </w:t>
      </w:r>
      <w:r>
        <w:rPr>
          <w:rFonts w:ascii="Times New Roman" w:hAnsi="仿宋" w:eastAsia="仿宋" w:cs="Times New Roman"/>
          <w:color w:val="auto"/>
          <w:sz w:val="32"/>
          <w:szCs w:val="32"/>
          <w:highlight w:val="none"/>
          <w:u w:val="single"/>
        </w:rPr>
        <w:t>万元整（小写：</w:t>
      </w:r>
      <w:r>
        <w:rPr>
          <w:rFonts w:hint="eastAsia" w:ascii="Times New Roman" w:hAnsi="仿宋" w:eastAsia="仿宋" w:cs="Times New Roman"/>
          <w:color w:val="auto"/>
          <w:sz w:val="32"/>
          <w:szCs w:val="32"/>
          <w:highlight w:val="none"/>
          <w:u w:val="single"/>
          <w:lang w:eastAsia="zh-CN"/>
        </w:rPr>
        <w:t>¥</w:t>
      </w:r>
      <w:r>
        <w:rPr>
          <w:rFonts w:hint="eastAsia" w:ascii="Times New Roman" w:hAnsi="Times New Roman" w:eastAsia="仿宋" w:cs="Times New Roman"/>
          <w:color w:val="auto"/>
          <w:sz w:val="32"/>
          <w:szCs w:val="32"/>
          <w:highlight w:val="none"/>
          <w:u w:val="single"/>
          <w:lang w:val="en-US" w:eastAsia="zh-CN"/>
        </w:rPr>
        <w:t xml:space="preserve">    </w:t>
      </w:r>
      <w:r>
        <w:rPr>
          <w:rFonts w:hint="eastAsia" w:ascii="Times New Roman" w:hAnsi="Times New Roman" w:eastAsia="仿宋" w:cs="Times New Roman"/>
          <w:color w:val="auto"/>
          <w:sz w:val="32"/>
          <w:szCs w:val="32"/>
          <w:highlight w:val="none"/>
          <w:u w:val="single"/>
        </w:rPr>
        <w:t>元</w:t>
      </w:r>
      <w:r>
        <w:rPr>
          <w:rFonts w:ascii="Times New Roman" w:hAnsi="仿宋" w:eastAsia="仿宋" w:cs="Times New Roman"/>
          <w:color w:val="auto"/>
          <w:sz w:val="32"/>
          <w:szCs w:val="32"/>
          <w:highlight w:val="none"/>
          <w:u w:val="single"/>
        </w:rPr>
        <w:t>）。</w:t>
      </w:r>
    </w:p>
    <w:p>
      <w:pPr>
        <w:spacing w:line="540" w:lineRule="exact"/>
        <w:ind w:firstLine="640" w:firstLineChars="200"/>
        <w:rPr>
          <w:rFonts w:ascii="Times New Roman" w:hAnsi="仿宋" w:eastAsia="仿宋" w:cs="Times New Roman"/>
          <w:color w:val="auto"/>
          <w:sz w:val="32"/>
          <w:szCs w:val="32"/>
          <w:highlight w:val="none"/>
          <w:u w:val="single"/>
        </w:rPr>
      </w:pPr>
      <w:r>
        <w:rPr>
          <w:rFonts w:ascii="Times New Roman" w:hAnsi="仿宋" w:eastAsia="仿宋" w:cs="Times New Roman"/>
          <w:color w:val="auto"/>
          <w:sz w:val="32"/>
          <w:szCs w:val="32"/>
          <w:highlight w:val="none"/>
        </w:rPr>
        <w:t>第</w:t>
      </w:r>
      <w:r>
        <w:rPr>
          <w:rFonts w:hint="eastAsia" w:ascii="Times New Roman" w:hAnsi="仿宋" w:eastAsia="仿宋" w:cs="Times New Roman"/>
          <w:color w:val="auto"/>
          <w:sz w:val="32"/>
          <w:szCs w:val="32"/>
          <w:highlight w:val="none"/>
          <w:lang w:val="en-US" w:eastAsia="zh-CN"/>
        </w:rPr>
        <w:t>三</w:t>
      </w:r>
      <w:r>
        <w:rPr>
          <w:rFonts w:ascii="Times New Roman" w:hAnsi="仿宋" w:eastAsia="仿宋" w:cs="Times New Roman"/>
          <w:color w:val="auto"/>
          <w:sz w:val="32"/>
          <w:szCs w:val="32"/>
          <w:highlight w:val="none"/>
        </w:rPr>
        <w:t>期：</w:t>
      </w:r>
      <w:r>
        <w:rPr>
          <w:rFonts w:hint="eastAsia" w:ascii="Times New Roman" w:hAnsi="仿宋" w:eastAsia="仿宋" w:cs="Times New Roman"/>
          <w:color w:val="auto"/>
          <w:sz w:val="32"/>
          <w:szCs w:val="32"/>
          <w:highlight w:val="none"/>
        </w:rPr>
        <w:t>尾款支付。</w:t>
      </w:r>
      <w:r>
        <w:rPr>
          <w:rFonts w:hint="eastAsia" w:ascii="Times New Roman" w:hAnsi="仿宋" w:eastAsia="仿宋" w:cs="Times New Roman"/>
          <w:color w:val="auto"/>
          <w:sz w:val="32"/>
          <w:szCs w:val="32"/>
          <w:highlight w:val="none"/>
          <w:lang w:val="en-US" w:eastAsia="zh-CN"/>
        </w:rPr>
        <w:t>服务期内需求</w:t>
      </w:r>
      <w:r>
        <w:rPr>
          <w:rFonts w:hint="eastAsia" w:ascii="仿宋" w:hAnsi="仿宋" w:eastAsia="仿宋" w:cs="Times New Roman"/>
          <w:color w:val="auto"/>
          <w:sz w:val="32"/>
          <w:szCs w:val="32"/>
          <w:highlight w:val="none"/>
        </w:rPr>
        <w:t>全部</w:t>
      </w:r>
      <w:r>
        <w:rPr>
          <w:rFonts w:ascii="Times New Roman" w:hAnsi="仿宋" w:eastAsia="仿宋" w:cs="Times New Roman"/>
          <w:color w:val="auto"/>
          <w:sz w:val="32"/>
          <w:szCs w:val="32"/>
          <w:highlight w:val="none"/>
        </w:rPr>
        <w:t>实施落地</w:t>
      </w:r>
      <w:r>
        <w:rPr>
          <w:rFonts w:hint="eastAsia" w:ascii="Times New Roman" w:hAnsi="仿宋" w:eastAsia="仿宋" w:cs="Times New Roman"/>
          <w:color w:val="auto"/>
          <w:sz w:val="32"/>
          <w:szCs w:val="32"/>
          <w:highlight w:val="none"/>
        </w:rPr>
        <w:t>，且乙方</w:t>
      </w:r>
      <w:r>
        <w:rPr>
          <w:rFonts w:hint="eastAsia" w:ascii="Times New Roman" w:hAnsi="仿宋" w:eastAsia="仿宋" w:cs="Times New Roman"/>
          <w:color w:val="auto"/>
          <w:sz w:val="32"/>
          <w:szCs w:val="32"/>
          <w:highlight w:val="none"/>
          <w:lang w:val="en-US" w:eastAsia="zh-CN"/>
        </w:rPr>
        <w:t>在服务期内配合开展指导</w:t>
      </w:r>
      <w:r>
        <w:rPr>
          <w:rFonts w:hint="eastAsia" w:ascii="Times New Roman" w:hAnsi="仿宋" w:eastAsia="仿宋" w:cs="Times New Roman"/>
          <w:color w:val="auto"/>
          <w:sz w:val="32"/>
          <w:szCs w:val="32"/>
          <w:highlight w:val="none"/>
        </w:rPr>
        <w:t>维护</w:t>
      </w:r>
      <w:r>
        <w:rPr>
          <w:rFonts w:hint="eastAsia" w:ascii="Times New Roman" w:hAnsi="仿宋" w:eastAsia="仿宋" w:cs="Times New Roman"/>
          <w:color w:val="auto"/>
          <w:sz w:val="32"/>
          <w:szCs w:val="32"/>
          <w:highlight w:val="none"/>
          <w:lang w:val="en-US" w:eastAsia="zh-CN"/>
        </w:rPr>
        <w:t>工作</w:t>
      </w:r>
      <w:r>
        <w:rPr>
          <w:rFonts w:hint="eastAsia" w:ascii="Times New Roman" w:hAnsi="仿宋" w:eastAsia="仿宋" w:cs="Times New Roman"/>
          <w:color w:val="auto"/>
          <w:sz w:val="32"/>
          <w:szCs w:val="32"/>
          <w:highlight w:val="none"/>
        </w:rPr>
        <w:t>，</w:t>
      </w:r>
      <w:r>
        <w:rPr>
          <w:rFonts w:ascii="Times New Roman" w:hAnsi="仿宋" w:eastAsia="仿宋" w:cs="Times New Roman"/>
          <w:bCs/>
          <w:color w:val="auto"/>
          <w:sz w:val="32"/>
          <w:szCs w:val="32"/>
          <w:highlight w:val="none"/>
        </w:rPr>
        <w:t>经甲方</w:t>
      </w:r>
      <w:r>
        <w:rPr>
          <w:rFonts w:hint="eastAsia" w:ascii="Times New Roman" w:hAnsi="仿宋" w:eastAsia="仿宋" w:cs="Times New Roman"/>
          <w:bCs/>
          <w:color w:val="auto"/>
          <w:sz w:val="32"/>
          <w:szCs w:val="32"/>
          <w:highlight w:val="none"/>
        </w:rPr>
        <w:t>组织整体</w:t>
      </w:r>
      <w:r>
        <w:rPr>
          <w:rFonts w:ascii="Times New Roman" w:hAnsi="仿宋" w:eastAsia="仿宋" w:cs="Times New Roman"/>
          <w:bCs/>
          <w:color w:val="auto"/>
          <w:sz w:val="32"/>
          <w:szCs w:val="32"/>
          <w:highlight w:val="none"/>
        </w:rPr>
        <w:t>验收通过</w:t>
      </w:r>
      <w:r>
        <w:rPr>
          <w:rFonts w:hint="eastAsia" w:ascii="Times New Roman" w:hAnsi="仿宋" w:eastAsia="仿宋" w:cs="Times New Roman"/>
          <w:bCs/>
          <w:color w:val="auto"/>
          <w:sz w:val="32"/>
          <w:szCs w:val="32"/>
          <w:highlight w:val="none"/>
        </w:rPr>
        <w:t>后</w:t>
      </w:r>
      <w:r>
        <w:rPr>
          <w:rFonts w:ascii="Times New Roman" w:hAnsi="仿宋" w:eastAsia="仿宋" w:cs="Times New Roman"/>
          <w:bCs/>
          <w:color w:val="auto"/>
          <w:sz w:val="32"/>
          <w:szCs w:val="32"/>
          <w:highlight w:val="none"/>
        </w:rPr>
        <w:t>，</w:t>
      </w:r>
      <w:r>
        <w:rPr>
          <w:rFonts w:ascii="Times New Roman" w:hAnsi="仿宋" w:eastAsia="仿宋" w:cs="Times New Roman"/>
          <w:color w:val="auto"/>
          <w:sz w:val="32"/>
          <w:szCs w:val="32"/>
          <w:highlight w:val="none"/>
        </w:rPr>
        <w:t>乙方出具</w:t>
      </w:r>
      <w:r>
        <w:rPr>
          <w:rFonts w:hint="eastAsia" w:ascii="Times New Roman" w:hAnsi="仿宋" w:eastAsia="仿宋" w:cs="Times New Roman"/>
          <w:color w:val="auto"/>
          <w:sz w:val="32"/>
          <w:szCs w:val="32"/>
          <w:highlight w:val="none"/>
        </w:rPr>
        <w:t>等额有效</w:t>
      </w:r>
      <w:r>
        <w:rPr>
          <w:rFonts w:ascii="Times New Roman" w:hAnsi="仿宋" w:eastAsia="仿宋" w:cs="Times New Roman"/>
          <w:color w:val="auto"/>
          <w:sz w:val="32"/>
          <w:szCs w:val="32"/>
          <w:highlight w:val="none"/>
        </w:rPr>
        <w:t>增值税专用发票及相关付款资料</w:t>
      </w:r>
      <w:r>
        <w:rPr>
          <w:rFonts w:hint="eastAsia" w:ascii="Times New Roman" w:hAnsi="仿宋" w:eastAsia="仿宋" w:cs="Times New Roman"/>
          <w:color w:val="auto"/>
          <w:sz w:val="32"/>
          <w:szCs w:val="32"/>
          <w:highlight w:val="none"/>
        </w:rPr>
        <w:t>之日起</w:t>
      </w:r>
      <w:r>
        <w:rPr>
          <w:rFonts w:ascii="Times New Roman" w:hAnsi="Times New Roman" w:eastAsia="仿宋" w:cs="Times New Roman"/>
          <w:color w:val="auto"/>
          <w:sz w:val="32"/>
          <w:szCs w:val="32"/>
          <w:highlight w:val="none"/>
        </w:rPr>
        <w:t xml:space="preserve"> </w:t>
      </w:r>
      <w:r>
        <w:rPr>
          <w:rFonts w:hint="eastAsia" w:ascii="Times New Roman" w:hAnsi="Times New Roman" w:eastAsia="仿宋" w:cs="Times New Roman"/>
          <w:bCs/>
          <w:color w:val="auto"/>
          <w:sz w:val="32"/>
          <w:szCs w:val="32"/>
          <w:highlight w:val="none"/>
          <w:u w:val="single"/>
          <w:lang w:val="en-US" w:eastAsia="zh-CN"/>
        </w:rPr>
        <w:t xml:space="preserve">    </w:t>
      </w:r>
      <w:r>
        <w:rPr>
          <w:rFonts w:ascii="Times New Roman" w:hAnsi="仿宋" w:eastAsia="仿宋" w:cs="Times New Roman"/>
          <w:color w:val="auto"/>
          <w:sz w:val="32"/>
          <w:szCs w:val="32"/>
          <w:highlight w:val="none"/>
        </w:rPr>
        <w:t>个工作日内，甲方支付合同价款的</w:t>
      </w:r>
      <w:r>
        <w:rPr>
          <w:rFonts w:hint="eastAsia" w:ascii="Times New Roman" w:hAnsi="Times New Roman" w:eastAsia="仿宋" w:cs="Times New Roman"/>
          <w:color w:val="auto"/>
          <w:sz w:val="32"/>
          <w:szCs w:val="32"/>
          <w:highlight w:val="none"/>
          <w:lang w:val="en-US" w:eastAsia="zh-CN"/>
        </w:rPr>
        <w:t>3</w:t>
      </w:r>
      <w:r>
        <w:rPr>
          <w:rFonts w:ascii="Times New Roman" w:hAnsi="Times New Roman" w:eastAsia="仿宋" w:cs="Times New Roman"/>
          <w:color w:val="auto"/>
          <w:sz w:val="32"/>
          <w:szCs w:val="32"/>
          <w:highlight w:val="none"/>
        </w:rPr>
        <w:t>0%</w:t>
      </w:r>
      <w:r>
        <w:rPr>
          <w:rFonts w:ascii="Times New Roman" w:hAnsi="仿宋" w:eastAsia="仿宋" w:cs="Times New Roman"/>
          <w:color w:val="auto"/>
          <w:sz w:val="32"/>
          <w:szCs w:val="32"/>
          <w:highlight w:val="none"/>
        </w:rPr>
        <w:t>，</w:t>
      </w:r>
      <w:r>
        <w:rPr>
          <w:rFonts w:ascii="Times New Roman" w:hAnsi="仿宋" w:eastAsia="仿宋" w:cs="Times New Roman"/>
          <w:color w:val="auto"/>
          <w:sz w:val="32"/>
          <w:szCs w:val="32"/>
          <w:highlight w:val="none"/>
          <w:u w:val="single"/>
        </w:rPr>
        <w:t>即人民币</w:t>
      </w:r>
      <w:r>
        <w:rPr>
          <w:rFonts w:hint="eastAsia" w:ascii="Times New Roman" w:hAnsi="仿宋" w:eastAsia="仿宋" w:cs="Times New Roman"/>
          <w:color w:val="auto"/>
          <w:sz w:val="32"/>
          <w:szCs w:val="32"/>
          <w:highlight w:val="none"/>
          <w:u w:val="single"/>
          <w:lang w:val="en-US" w:eastAsia="zh-CN"/>
        </w:rPr>
        <w:t xml:space="preserve">                               xx    万元整</w:t>
      </w:r>
      <w:r>
        <w:rPr>
          <w:rFonts w:ascii="Times New Roman" w:hAnsi="仿宋" w:eastAsia="仿宋" w:cs="Times New Roman"/>
          <w:color w:val="auto"/>
          <w:sz w:val="32"/>
          <w:szCs w:val="32"/>
          <w:highlight w:val="none"/>
          <w:u w:val="single"/>
        </w:rPr>
        <w:t>（小写：</w:t>
      </w:r>
      <w:r>
        <w:rPr>
          <w:rFonts w:hint="eastAsia" w:ascii="Times New Roman" w:hAnsi="仿宋" w:eastAsia="仿宋" w:cs="Times New Roman"/>
          <w:color w:val="auto"/>
          <w:sz w:val="32"/>
          <w:szCs w:val="32"/>
          <w:highlight w:val="none"/>
          <w:u w:val="single"/>
          <w:lang w:eastAsia="zh-CN"/>
        </w:rPr>
        <w:t>¥</w:t>
      </w:r>
      <w:r>
        <w:rPr>
          <w:rFonts w:hint="eastAsia" w:ascii="Times New Roman" w:hAnsi="Times New Roman" w:eastAsia="仿宋" w:cs="Times New Roman"/>
          <w:color w:val="auto"/>
          <w:sz w:val="32"/>
          <w:szCs w:val="32"/>
          <w:highlight w:val="none"/>
          <w:u w:val="single"/>
          <w:lang w:val="en-US" w:eastAsia="zh-CN"/>
        </w:rPr>
        <w:t xml:space="preserve">       </w:t>
      </w:r>
      <w:r>
        <w:rPr>
          <w:rFonts w:hint="eastAsia" w:ascii="Times New Roman" w:hAnsi="Times New Roman" w:eastAsia="仿宋" w:cs="Times New Roman"/>
          <w:color w:val="auto"/>
          <w:sz w:val="32"/>
          <w:szCs w:val="32"/>
          <w:highlight w:val="none"/>
          <w:u w:val="single"/>
        </w:rPr>
        <w:t>元</w:t>
      </w:r>
      <w:r>
        <w:rPr>
          <w:rFonts w:ascii="Times New Roman" w:hAnsi="仿宋" w:eastAsia="仿宋" w:cs="Times New Roman"/>
          <w:color w:val="auto"/>
          <w:sz w:val="32"/>
          <w:szCs w:val="32"/>
          <w:highlight w:val="none"/>
          <w:u w:val="single"/>
        </w:rPr>
        <w:t>）。</w:t>
      </w:r>
    </w:p>
    <w:p>
      <w:pPr>
        <w:spacing w:line="540" w:lineRule="exact"/>
        <w:ind w:firstLine="640" w:firstLineChars="200"/>
        <w:rPr>
          <w:rFonts w:hint="eastAsia" w:ascii="Times New Roman" w:hAnsi="仿宋" w:eastAsia="仿宋" w:cs="Times New Roman"/>
          <w:color w:val="auto"/>
          <w:sz w:val="32"/>
          <w:szCs w:val="32"/>
          <w:highlight w:val="none"/>
        </w:rPr>
      </w:pPr>
      <w:r>
        <w:rPr>
          <w:rFonts w:hint="eastAsia" w:ascii="Times New Roman" w:hAnsi="仿宋" w:eastAsia="仿宋" w:cs="Times New Roman"/>
          <w:color w:val="auto"/>
          <w:sz w:val="32"/>
          <w:szCs w:val="32"/>
          <w:highlight w:val="none"/>
        </w:rPr>
        <w:t>在合同有效期内，</w:t>
      </w:r>
      <w:r>
        <w:rPr>
          <w:rFonts w:ascii="Times New Roman" w:hAnsi="仿宋" w:eastAsia="仿宋" w:cs="Times New Roman"/>
          <w:color w:val="auto"/>
          <w:sz w:val="32"/>
          <w:szCs w:val="32"/>
          <w:highlight w:val="none"/>
        </w:rPr>
        <w:t>如甲方不认可乙方阶段性</w:t>
      </w:r>
      <w:r>
        <w:rPr>
          <w:rFonts w:hint="eastAsia" w:ascii="Times New Roman" w:hAnsi="仿宋" w:eastAsia="仿宋" w:cs="Times New Roman"/>
          <w:color w:val="auto"/>
          <w:sz w:val="32"/>
          <w:szCs w:val="32"/>
          <w:highlight w:val="none"/>
          <w:lang w:val="en-US" w:eastAsia="zh-CN"/>
        </w:rPr>
        <w:t>服务</w:t>
      </w:r>
      <w:r>
        <w:rPr>
          <w:rFonts w:ascii="Times New Roman" w:hAnsi="仿宋" w:eastAsia="仿宋" w:cs="Times New Roman"/>
          <w:color w:val="auto"/>
          <w:sz w:val="32"/>
          <w:szCs w:val="32"/>
          <w:highlight w:val="none"/>
        </w:rPr>
        <w:t>成果或乙方提供的有关</w:t>
      </w:r>
      <w:r>
        <w:rPr>
          <w:rFonts w:hint="eastAsia" w:ascii="Times New Roman" w:hAnsi="仿宋" w:eastAsia="仿宋" w:cs="Times New Roman"/>
          <w:color w:val="auto"/>
          <w:sz w:val="32"/>
          <w:szCs w:val="32"/>
          <w:highlight w:val="none"/>
          <w:lang w:val="en-US" w:eastAsia="zh-CN"/>
        </w:rPr>
        <w:t>服务未按甲方需求提供</w:t>
      </w:r>
      <w:r>
        <w:rPr>
          <w:rFonts w:ascii="Times New Roman" w:hAnsi="仿宋" w:eastAsia="仿宋" w:cs="Times New Roman"/>
          <w:color w:val="auto"/>
          <w:sz w:val="32"/>
          <w:szCs w:val="32"/>
          <w:highlight w:val="none"/>
        </w:rPr>
        <w:t>，甲方有权提出修改意见，乙方应负责</w:t>
      </w:r>
      <w:r>
        <w:rPr>
          <w:rFonts w:hint="eastAsia" w:ascii="Times New Roman" w:hAnsi="仿宋" w:eastAsia="仿宋" w:cs="Times New Roman"/>
          <w:color w:val="auto"/>
          <w:sz w:val="32"/>
          <w:szCs w:val="32"/>
          <w:highlight w:val="none"/>
        </w:rPr>
        <w:t>整改</w:t>
      </w:r>
      <w:r>
        <w:rPr>
          <w:rFonts w:ascii="Times New Roman" w:hAnsi="仿宋" w:eastAsia="仿宋" w:cs="Times New Roman"/>
          <w:color w:val="auto"/>
          <w:sz w:val="32"/>
          <w:szCs w:val="32"/>
          <w:highlight w:val="none"/>
        </w:rPr>
        <w:t>，直到该</w:t>
      </w:r>
      <w:r>
        <w:rPr>
          <w:rFonts w:hint="eastAsia" w:ascii="Times New Roman" w:hAnsi="仿宋" w:eastAsia="仿宋" w:cs="Times New Roman"/>
          <w:color w:val="auto"/>
          <w:sz w:val="32"/>
          <w:szCs w:val="32"/>
          <w:highlight w:val="none"/>
          <w:lang w:val="en-US" w:eastAsia="zh-CN"/>
        </w:rPr>
        <w:t>项服务</w:t>
      </w:r>
      <w:r>
        <w:rPr>
          <w:rFonts w:hint="eastAsia" w:ascii="Times New Roman" w:hAnsi="仿宋" w:eastAsia="仿宋" w:cs="Times New Roman"/>
          <w:color w:val="auto"/>
          <w:sz w:val="32"/>
          <w:szCs w:val="32"/>
          <w:highlight w:val="none"/>
        </w:rPr>
        <w:t>成果</w:t>
      </w:r>
      <w:r>
        <w:rPr>
          <w:rFonts w:hint="eastAsia" w:ascii="Times New Roman" w:hAnsi="仿宋" w:eastAsia="仿宋" w:cs="Times New Roman"/>
          <w:color w:val="auto"/>
          <w:sz w:val="32"/>
          <w:szCs w:val="32"/>
          <w:highlight w:val="none"/>
          <w:lang w:val="en-US" w:eastAsia="zh-CN"/>
        </w:rPr>
        <w:t>的设计使用</w:t>
      </w:r>
      <w:r>
        <w:rPr>
          <w:rFonts w:ascii="Times New Roman" w:hAnsi="仿宋" w:eastAsia="仿宋" w:cs="Times New Roman"/>
          <w:color w:val="auto"/>
          <w:sz w:val="32"/>
          <w:szCs w:val="32"/>
          <w:highlight w:val="none"/>
        </w:rPr>
        <w:t>通过</w:t>
      </w:r>
      <w:r>
        <w:rPr>
          <w:rFonts w:hint="eastAsia" w:ascii="Times New Roman" w:hAnsi="仿宋" w:eastAsia="仿宋" w:cs="Times New Roman"/>
          <w:color w:val="auto"/>
          <w:sz w:val="32"/>
          <w:szCs w:val="32"/>
          <w:highlight w:val="none"/>
        </w:rPr>
        <w:t>甲方</w:t>
      </w:r>
      <w:r>
        <w:rPr>
          <w:rFonts w:ascii="Times New Roman" w:hAnsi="仿宋" w:eastAsia="仿宋" w:cs="Times New Roman"/>
          <w:color w:val="auto"/>
          <w:sz w:val="32"/>
          <w:szCs w:val="32"/>
          <w:highlight w:val="none"/>
        </w:rPr>
        <w:t>验收为止。如果经乙方</w:t>
      </w:r>
      <w:r>
        <w:rPr>
          <w:rFonts w:hint="eastAsia" w:ascii="Times New Roman" w:hAnsi="仿宋" w:eastAsia="仿宋" w:cs="Times New Roman"/>
          <w:color w:val="auto"/>
          <w:sz w:val="32"/>
          <w:szCs w:val="32"/>
          <w:highlight w:val="none"/>
        </w:rPr>
        <w:t>整</w:t>
      </w:r>
      <w:r>
        <w:rPr>
          <w:rFonts w:ascii="Times New Roman" w:hAnsi="仿宋" w:eastAsia="仿宋" w:cs="Times New Roman"/>
          <w:color w:val="auto"/>
          <w:sz w:val="32"/>
          <w:szCs w:val="32"/>
          <w:highlight w:val="none"/>
        </w:rPr>
        <w:t>改后的</w:t>
      </w:r>
      <w:r>
        <w:rPr>
          <w:rFonts w:hint="eastAsia" w:ascii="Times New Roman" w:hAnsi="仿宋" w:eastAsia="仿宋" w:cs="Times New Roman"/>
          <w:color w:val="auto"/>
          <w:sz w:val="32"/>
          <w:szCs w:val="32"/>
          <w:highlight w:val="none"/>
          <w:lang w:val="en-US" w:eastAsia="zh-CN"/>
        </w:rPr>
        <w:t>服务</w:t>
      </w:r>
      <w:r>
        <w:rPr>
          <w:rFonts w:hint="eastAsia" w:ascii="Times New Roman" w:hAnsi="仿宋" w:eastAsia="仿宋" w:cs="Times New Roman"/>
          <w:color w:val="auto"/>
          <w:sz w:val="32"/>
          <w:szCs w:val="32"/>
          <w:highlight w:val="none"/>
        </w:rPr>
        <w:t>成果</w:t>
      </w:r>
      <w:r>
        <w:rPr>
          <w:rFonts w:ascii="Times New Roman" w:hAnsi="仿宋" w:eastAsia="仿宋" w:cs="Times New Roman"/>
          <w:color w:val="auto"/>
          <w:sz w:val="32"/>
          <w:szCs w:val="32"/>
          <w:highlight w:val="none"/>
        </w:rPr>
        <w:t>仍不能达到</w:t>
      </w:r>
      <w:r>
        <w:rPr>
          <w:rFonts w:hint="eastAsia" w:ascii="Times New Roman" w:hAnsi="仿宋" w:eastAsia="仿宋" w:cs="Times New Roman"/>
          <w:color w:val="auto"/>
          <w:sz w:val="32"/>
          <w:szCs w:val="32"/>
          <w:highlight w:val="none"/>
        </w:rPr>
        <w:t>项目落地要求的，甲方有权延期支付第</w:t>
      </w:r>
      <w:r>
        <w:rPr>
          <w:rFonts w:hint="eastAsia" w:ascii="Times New Roman" w:hAnsi="仿宋" w:eastAsia="仿宋" w:cs="Times New Roman"/>
          <w:color w:val="auto"/>
          <w:sz w:val="32"/>
          <w:szCs w:val="32"/>
          <w:highlight w:val="none"/>
          <w:lang w:val="en-US" w:eastAsia="zh-CN"/>
        </w:rPr>
        <w:t>二</w:t>
      </w:r>
      <w:r>
        <w:rPr>
          <w:rFonts w:hint="eastAsia" w:ascii="Times New Roman" w:hAnsi="仿宋" w:eastAsia="仿宋" w:cs="Times New Roman"/>
          <w:color w:val="auto"/>
          <w:sz w:val="32"/>
          <w:szCs w:val="32"/>
          <w:highlight w:val="none"/>
        </w:rPr>
        <w:t>期、</w:t>
      </w:r>
      <w:r>
        <w:rPr>
          <w:rFonts w:hint="eastAsia" w:ascii="Times New Roman" w:hAnsi="仿宋" w:eastAsia="仿宋" w:cs="Times New Roman"/>
          <w:color w:val="auto"/>
          <w:sz w:val="32"/>
          <w:szCs w:val="32"/>
          <w:highlight w:val="none"/>
          <w:lang w:val="en-US" w:eastAsia="zh-CN"/>
        </w:rPr>
        <w:t>第三</w:t>
      </w:r>
      <w:r>
        <w:rPr>
          <w:rFonts w:hint="eastAsia" w:ascii="Times New Roman" w:hAnsi="仿宋" w:eastAsia="仿宋" w:cs="Times New Roman"/>
          <w:color w:val="auto"/>
          <w:sz w:val="32"/>
          <w:szCs w:val="32"/>
          <w:highlight w:val="none"/>
        </w:rPr>
        <w:t>期款项或调整支付比例</w:t>
      </w:r>
      <w:r>
        <w:rPr>
          <w:rFonts w:hint="eastAsia" w:ascii="Times New Roman" w:hAnsi="仿宋" w:eastAsia="仿宋" w:cs="Times New Roman"/>
          <w:color w:val="auto"/>
          <w:sz w:val="32"/>
          <w:szCs w:val="32"/>
          <w:highlight w:val="none"/>
          <w:lang w:eastAsia="zh-CN"/>
        </w:rPr>
        <w:t>，</w:t>
      </w:r>
      <w:r>
        <w:rPr>
          <w:rFonts w:hint="eastAsia" w:ascii="Times New Roman" w:hAnsi="仿宋" w:eastAsia="仿宋" w:cs="Times New Roman"/>
          <w:color w:val="auto"/>
          <w:sz w:val="32"/>
          <w:szCs w:val="32"/>
          <w:highlight w:val="none"/>
          <w:lang w:val="en-US" w:eastAsia="zh-CN"/>
        </w:rPr>
        <w:t>或者</w:t>
      </w:r>
      <w:r>
        <w:rPr>
          <w:rFonts w:ascii="Times New Roman" w:hAnsi="仿宋" w:eastAsia="仿宋" w:cs="Times New Roman"/>
          <w:color w:val="auto"/>
          <w:sz w:val="32"/>
          <w:szCs w:val="32"/>
          <w:highlight w:val="none"/>
        </w:rPr>
        <w:t>解除合同。</w:t>
      </w:r>
      <w:r>
        <w:rPr>
          <w:rFonts w:hint="eastAsia" w:ascii="Times New Roman" w:hAnsi="仿宋" w:eastAsia="仿宋" w:cs="Times New Roman"/>
          <w:color w:val="auto"/>
          <w:sz w:val="32"/>
          <w:szCs w:val="32"/>
          <w:highlight w:val="none"/>
        </w:rPr>
        <w:t>如因此导致各阶段成果交付履行期限延长的，乙方应承担逾期交付工作成果的违约责任。</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3.3</w:t>
      </w:r>
      <w:r>
        <w:rPr>
          <w:rFonts w:ascii="Times New Roman" w:hAnsi="仿宋" w:eastAsia="仿宋" w:cs="Times New Roman"/>
          <w:color w:val="auto"/>
          <w:sz w:val="32"/>
          <w:szCs w:val="32"/>
          <w:highlight w:val="none"/>
        </w:rPr>
        <w:t>发票出具</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1</w:t>
      </w:r>
      <w:r>
        <w:rPr>
          <w:rFonts w:ascii="Times New Roman" w:hAnsi="仿宋" w:eastAsia="仿宋" w:cs="Times New Roman"/>
          <w:color w:val="auto"/>
          <w:sz w:val="32"/>
          <w:szCs w:val="32"/>
          <w:highlight w:val="none"/>
        </w:rPr>
        <w:t>）收到乙方出具的增值税专用发票及相关付款资料是甲方每次付款的前提条件。乙方应在上述规定的支付日期前向甲方开具并交付上述咨询费用以及项目相关费用的发票（每次款项支付乙方均需提供等额国家税务局监制的</w:t>
      </w:r>
      <w:r>
        <w:rPr>
          <w:rFonts w:ascii="Times New Roman" w:hAnsi="Times New Roman" w:eastAsia="仿宋" w:cs="Times New Roman"/>
          <w:color w:val="auto"/>
          <w:sz w:val="32"/>
          <w:szCs w:val="32"/>
          <w:highlight w:val="none"/>
        </w:rPr>
        <w:t>“</w:t>
      </w:r>
      <w:r>
        <w:rPr>
          <w:rFonts w:ascii="Times New Roman" w:hAnsi="仿宋" w:eastAsia="仿宋" w:cs="Times New Roman"/>
          <w:color w:val="auto"/>
          <w:sz w:val="32"/>
          <w:szCs w:val="32"/>
          <w:highlight w:val="none"/>
        </w:rPr>
        <w:t>增值税专用发票</w:t>
      </w:r>
      <w:r>
        <w:rPr>
          <w:rFonts w:ascii="Times New Roman" w:hAnsi="Times New Roman" w:eastAsia="仿宋" w:cs="Times New Roman"/>
          <w:color w:val="auto"/>
          <w:sz w:val="32"/>
          <w:szCs w:val="32"/>
          <w:highlight w:val="none"/>
        </w:rPr>
        <w:t>”</w:t>
      </w:r>
      <w:r>
        <w:rPr>
          <w:rFonts w:ascii="Times New Roman" w:hAnsi="仿宋" w:eastAsia="仿宋" w:cs="Times New Roman"/>
          <w:color w:val="auto"/>
          <w:sz w:val="32"/>
          <w:szCs w:val="32"/>
          <w:highlight w:val="none"/>
        </w:rPr>
        <w:t>）。乙方应确保出具的增值税专用发票符合国家增值税抵扣的规定，并于开具之日起</w:t>
      </w:r>
      <w:r>
        <w:rPr>
          <w:rFonts w:hint="eastAsia" w:ascii="Times New Roman" w:hAnsi="Times New Roman" w:eastAsia="仿宋" w:cs="Times New Roman"/>
          <w:color w:val="auto"/>
          <w:sz w:val="32"/>
          <w:szCs w:val="32"/>
          <w:highlight w:val="none"/>
          <w:u w:val="single"/>
          <w:lang w:val="en-US" w:eastAsia="zh-CN"/>
        </w:rPr>
        <w:t xml:space="preserve">    </w:t>
      </w:r>
      <w:r>
        <w:rPr>
          <w:rFonts w:hint="eastAsia" w:ascii="Times New Roman" w:hAnsi="Times New Roman" w:eastAsia="仿宋" w:cs="Times New Roman"/>
          <w:color w:val="auto"/>
          <w:sz w:val="32"/>
          <w:szCs w:val="32"/>
          <w:highlight w:val="none"/>
        </w:rPr>
        <w:t>个工作</w:t>
      </w:r>
      <w:r>
        <w:rPr>
          <w:rFonts w:ascii="Times New Roman" w:hAnsi="仿宋" w:eastAsia="仿宋" w:cs="Times New Roman"/>
          <w:color w:val="auto"/>
          <w:sz w:val="32"/>
          <w:szCs w:val="32"/>
          <w:highlight w:val="none"/>
        </w:rPr>
        <w:t>日内提交给甲方。甲方在收到乙方按甲方要求格式出具的与合同每次付款总价等额的合法增值税发票，且符合合同约定的付款条件后</w:t>
      </w:r>
      <w:r>
        <w:rPr>
          <w:rFonts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bCs/>
          <w:color w:val="auto"/>
          <w:sz w:val="32"/>
          <w:szCs w:val="32"/>
          <w:highlight w:val="none"/>
          <w:u w:val="single"/>
          <w:lang w:val="en-US" w:eastAsia="zh-CN"/>
        </w:rPr>
        <w:t xml:space="preserve">    </w:t>
      </w:r>
      <w:r>
        <w:rPr>
          <w:rFonts w:ascii="Times New Roman" w:hAnsi="Times New Roman" w:eastAsia="仿宋" w:cs="Times New Roman"/>
          <w:color w:val="auto"/>
          <w:sz w:val="32"/>
          <w:szCs w:val="32"/>
          <w:highlight w:val="none"/>
          <w:u w:val="single"/>
        </w:rPr>
        <w:t xml:space="preserve"> </w:t>
      </w:r>
      <w:r>
        <w:rPr>
          <w:rFonts w:ascii="Times New Roman" w:hAnsi="仿宋" w:eastAsia="仿宋" w:cs="Times New Roman"/>
          <w:color w:val="auto"/>
          <w:sz w:val="32"/>
          <w:szCs w:val="32"/>
          <w:highlight w:val="none"/>
        </w:rPr>
        <w:t>个工作日内支付款项。相应款项甲方应以人民币支付，并存入乙方指定银行账户中：</w:t>
      </w:r>
    </w:p>
    <w:p>
      <w:pPr>
        <w:widowControl/>
        <w:spacing w:line="540" w:lineRule="exact"/>
        <w:rPr>
          <w:rFonts w:ascii="Times New Roman" w:hAnsi="Times New Roman" w:eastAsia="仿宋" w:cs="Times New Roman"/>
          <w:color w:val="auto"/>
          <w:sz w:val="32"/>
          <w:szCs w:val="32"/>
          <w:highlight w:val="none"/>
        </w:rPr>
      </w:pPr>
      <w:r>
        <w:rPr>
          <w:rFonts w:ascii="Times New Roman" w:hAnsi="仿宋" w:eastAsia="仿宋" w:cs="Times New Roman"/>
          <w:b/>
          <w:color w:val="auto"/>
          <w:sz w:val="32"/>
          <w:szCs w:val="32"/>
          <w:highlight w:val="none"/>
        </w:rPr>
        <w:t>户</w:t>
      </w:r>
      <w:r>
        <w:rPr>
          <w:rFonts w:ascii="Times New Roman" w:hAnsi="Times New Roman" w:eastAsia="仿宋" w:cs="Times New Roman"/>
          <w:b/>
          <w:color w:val="auto"/>
          <w:sz w:val="32"/>
          <w:szCs w:val="32"/>
          <w:highlight w:val="none"/>
        </w:rPr>
        <w:t xml:space="preserve">    </w:t>
      </w:r>
      <w:r>
        <w:rPr>
          <w:rFonts w:ascii="Times New Roman" w:hAnsi="仿宋" w:eastAsia="仿宋" w:cs="Times New Roman"/>
          <w:b/>
          <w:color w:val="auto"/>
          <w:sz w:val="32"/>
          <w:szCs w:val="32"/>
          <w:highlight w:val="none"/>
        </w:rPr>
        <w:t>名</w:t>
      </w:r>
      <w:r>
        <w:rPr>
          <w:rFonts w:ascii="Times New Roman" w:hAnsi="仿宋" w:eastAsia="仿宋" w:cs="Times New Roman"/>
          <w:color w:val="auto"/>
          <w:sz w:val="32"/>
          <w:szCs w:val="32"/>
          <w:highlight w:val="none"/>
        </w:rPr>
        <w:t>：</w:t>
      </w:r>
      <w:r>
        <w:rPr>
          <w:rFonts w:hint="eastAsia" w:ascii="Times New Roman" w:hAnsi="仿宋" w:eastAsia="仿宋" w:cs="Times New Roman"/>
          <w:color w:val="auto"/>
          <w:sz w:val="32"/>
          <w:szCs w:val="32"/>
          <w:highlight w:val="none"/>
          <w:lang w:val="en-US" w:eastAsia="zh-CN"/>
        </w:rPr>
        <w:t xml:space="preserve"> </w:t>
      </w:r>
      <w:r>
        <w:rPr>
          <w:rFonts w:ascii="Times New Roman" w:hAnsi="Times New Roman" w:eastAsia="仿宋" w:cs="Times New Roman"/>
          <w:color w:val="auto"/>
          <w:sz w:val="32"/>
          <w:szCs w:val="32"/>
          <w:highlight w:val="none"/>
        </w:rPr>
        <w:t xml:space="preserve">   </w:t>
      </w:r>
    </w:p>
    <w:p>
      <w:pPr>
        <w:widowControl/>
        <w:spacing w:line="540" w:lineRule="exact"/>
        <w:rPr>
          <w:rFonts w:ascii="Times New Roman" w:hAnsi="Times New Roman" w:eastAsia="仿宋" w:cs="Times New Roman"/>
          <w:color w:val="auto"/>
          <w:sz w:val="32"/>
          <w:szCs w:val="32"/>
          <w:highlight w:val="none"/>
        </w:rPr>
      </w:pPr>
      <w:r>
        <w:rPr>
          <w:rFonts w:ascii="Times New Roman" w:hAnsi="仿宋" w:eastAsia="仿宋" w:cs="Times New Roman"/>
          <w:b/>
          <w:color w:val="auto"/>
          <w:sz w:val="32"/>
          <w:szCs w:val="32"/>
          <w:highlight w:val="none"/>
        </w:rPr>
        <w:t>开户银行</w:t>
      </w:r>
      <w:r>
        <w:rPr>
          <w:rFonts w:ascii="Times New Roman" w:hAnsi="仿宋" w:eastAsia="仿宋" w:cs="Times New Roman"/>
          <w:color w:val="auto"/>
          <w:sz w:val="32"/>
          <w:szCs w:val="32"/>
          <w:highlight w:val="none"/>
        </w:rPr>
        <w:t>：</w:t>
      </w:r>
      <w:r>
        <w:rPr>
          <w:rFonts w:hint="eastAsia" w:ascii="Times New Roman" w:hAnsi="仿宋" w:eastAsia="仿宋" w:cs="Times New Roman"/>
          <w:color w:val="auto"/>
          <w:sz w:val="32"/>
          <w:szCs w:val="32"/>
          <w:highlight w:val="none"/>
          <w:lang w:val="en-US" w:eastAsia="zh-CN"/>
        </w:rPr>
        <w:t xml:space="preserve"> </w:t>
      </w:r>
      <w:r>
        <w:rPr>
          <w:rFonts w:ascii="Times New Roman" w:hAnsi="Times New Roman" w:eastAsia="仿宋" w:cs="Times New Roman"/>
          <w:color w:val="auto"/>
          <w:sz w:val="32"/>
          <w:szCs w:val="32"/>
          <w:highlight w:val="none"/>
        </w:rPr>
        <w:t xml:space="preserve">                    </w:t>
      </w:r>
    </w:p>
    <w:p>
      <w:pPr>
        <w:widowControl/>
        <w:spacing w:line="540" w:lineRule="exact"/>
        <w:rPr>
          <w:rFonts w:ascii="Times New Roman" w:hAnsi="Times New Roman" w:eastAsia="仿宋" w:cs="Times New Roman"/>
          <w:color w:val="auto"/>
          <w:sz w:val="32"/>
          <w:szCs w:val="32"/>
          <w:highlight w:val="none"/>
        </w:rPr>
      </w:pPr>
      <w:r>
        <w:rPr>
          <w:rFonts w:ascii="Times New Roman" w:hAnsi="仿宋" w:eastAsia="仿宋" w:cs="Times New Roman"/>
          <w:b/>
          <w:color w:val="auto"/>
          <w:sz w:val="32"/>
          <w:szCs w:val="32"/>
          <w:highlight w:val="none"/>
        </w:rPr>
        <w:t>账</w:t>
      </w:r>
      <w:r>
        <w:rPr>
          <w:rFonts w:ascii="Times New Roman" w:hAnsi="Times New Roman" w:eastAsia="仿宋" w:cs="Times New Roman"/>
          <w:b/>
          <w:color w:val="auto"/>
          <w:sz w:val="32"/>
          <w:szCs w:val="32"/>
          <w:highlight w:val="none"/>
        </w:rPr>
        <w:t xml:space="preserve">    </w:t>
      </w:r>
      <w:r>
        <w:rPr>
          <w:rFonts w:ascii="Times New Roman" w:hAnsi="仿宋" w:eastAsia="仿宋" w:cs="Times New Roman"/>
          <w:b/>
          <w:color w:val="auto"/>
          <w:sz w:val="32"/>
          <w:szCs w:val="32"/>
          <w:highlight w:val="none"/>
        </w:rPr>
        <w:t>号</w:t>
      </w:r>
      <w:r>
        <w:rPr>
          <w:rFonts w:ascii="Times New Roman" w:hAnsi="仿宋"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 xml:space="preserve"> </w:t>
      </w:r>
      <w:r>
        <w:rPr>
          <w:rFonts w:ascii="Times New Roman" w:hAnsi="Times New Roman" w:eastAsia="仿宋" w:cs="Times New Roman"/>
          <w:color w:val="auto"/>
          <w:sz w:val="32"/>
          <w:szCs w:val="32"/>
          <w:highlight w:val="none"/>
        </w:rPr>
        <w:t xml:space="preserve">                            </w:t>
      </w:r>
    </w:p>
    <w:p>
      <w:pPr>
        <w:widowControl/>
        <w:spacing w:line="540" w:lineRule="exact"/>
        <w:ind w:left="1606" w:hanging="1606" w:hangingChars="500"/>
        <w:rPr>
          <w:rFonts w:ascii="Times New Roman" w:hAnsi="Times New Roman" w:eastAsia="仿宋" w:cs="Times New Roman"/>
          <w:color w:val="auto"/>
          <w:sz w:val="32"/>
          <w:szCs w:val="32"/>
          <w:highlight w:val="none"/>
        </w:rPr>
      </w:pPr>
      <w:r>
        <w:rPr>
          <w:rFonts w:ascii="Times New Roman" w:hAnsi="仿宋" w:eastAsia="仿宋" w:cs="Times New Roman"/>
          <w:b/>
          <w:color w:val="auto"/>
          <w:sz w:val="32"/>
          <w:szCs w:val="32"/>
          <w:highlight w:val="none"/>
        </w:rPr>
        <w:t>地</w:t>
      </w:r>
      <w:r>
        <w:rPr>
          <w:rFonts w:ascii="Times New Roman" w:hAnsi="Times New Roman" w:eastAsia="仿宋" w:cs="Times New Roman"/>
          <w:b/>
          <w:color w:val="auto"/>
          <w:sz w:val="32"/>
          <w:szCs w:val="32"/>
          <w:highlight w:val="none"/>
        </w:rPr>
        <w:t xml:space="preserve">    </w:t>
      </w:r>
      <w:r>
        <w:rPr>
          <w:rFonts w:ascii="Times New Roman" w:hAnsi="仿宋" w:eastAsia="仿宋" w:cs="Times New Roman"/>
          <w:b/>
          <w:color w:val="auto"/>
          <w:sz w:val="32"/>
          <w:szCs w:val="32"/>
          <w:highlight w:val="none"/>
        </w:rPr>
        <w:t>址</w:t>
      </w:r>
      <w:r>
        <w:rPr>
          <w:rFonts w:ascii="Times New Roman" w:hAnsi="仿宋" w:eastAsia="仿宋" w:cs="Times New Roman"/>
          <w:color w:val="auto"/>
          <w:sz w:val="32"/>
          <w:szCs w:val="32"/>
          <w:highlight w:val="none"/>
        </w:rPr>
        <w:t>：</w:t>
      </w:r>
      <w:r>
        <w:rPr>
          <w:rFonts w:hint="eastAsia" w:ascii="Times New Roman" w:hAnsi="仿宋" w:eastAsia="仿宋" w:cs="Times New Roman"/>
          <w:color w:val="auto"/>
          <w:sz w:val="32"/>
          <w:szCs w:val="32"/>
          <w:highlight w:val="none"/>
          <w:lang w:val="en-US" w:eastAsia="zh-CN"/>
        </w:rPr>
        <w:t xml:space="preserve"> </w:t>
      </w:r>
      <w:r>
        <w:rPr>
          <w:rFonts w:ascii="Times New Roman" w:hAnsi="Times New Roman" w:eastAsia="仿宋" w:cs="Times New Roman"/>
          <w:color w:val="auto"/>
          <w:sz w:val="32"/>
          <w:szCs w:val="32"/>
          <w:highlight w:val="none"/>
        </w:rPr>
        <w:t xml:space="preserve">   </w:t>
      </w:r>
    </w:p>
    <w:p>
      <w:pPr>
        <w:widowControl/>
        <w:spacing w:line="540" w:lineRule="exact"/>
        <w:rPr>
          <w:rFonts w:ascii="Times New Roman" w:hAnsi="Times New Roman" w:eastAsia="仿宋" w:cs="Times New Roman"/>
          <w:color w:val="auto"/>
          <w:sz w:val="32"/>
          <w:szCs w:val="32"/>
          <w:highlight w:val="none"/>
          <w:u w:val="single"/>
        </w:rPr>
      </w:pPr>
      <w:r>
        <w:rPr>
          <w:rFonts w:ascii="Times New Roman" w:hAnsi="仿宋" w:eastAsia="仿宋" w:cs="Times New Roman"/>
          <w:b/>
          <w:color w:val="auto"/>
          <w:sz w:val="32"/>
          <w:szCs w:val="32"/>
          <w:highlight w:val="none"/>
        </w:rPr>
        <w:t>纳税人识别号</w:t>
      </w:r>
      <w:r>
        <w:rPr>
          <w:rFonts w:ascii="Times New Roman" w:hAnsi="仿宋"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 xml:space="preserve"> </w:t>
      </w:r>
      <w:r>
        <w:rPr>
          <w:rFonts w:ascii="Times New Roman" w:hAnsi="Times New Roman" w:eastAsia="仿宋" w:cs="Times New Roman"/>
          <w:color w:val="auto"/>
          <w:sz w:val="32"/>
          <w:szCs w:val="32"/>
          <w:highlight w:val="none"/>
        </w:rPr>
        <w:t xml:space="preserve">     </w:t>
      </w:r>
    </w:p>
    <w:p>
      <w:pPr>
        <w:widowControl/>
        <w:rPr>
          <w:rFonts w:ascii="Calibri" w:hAnsi="Calibri" w:eastAsia="宋体"/>
          <w:color w:val="auto"/>
          <w:sz w:val="20"/>
          <w:szCs w:val="20"/>
          <w:highlight w:val="none"/>
        </w:rPr>
      </w:pPr>
      <w:r>
        <w:rPr>
          <w:rFonts w:hint="eastAsia" w:ascii="Times New Roman" w:hAnsi="仿宋" w:eastAsia="仿宋" w:cs="Times New Roman"/>
          <w:bCs/>
          <w:color w:val="auto"/>
          <w:sz w:val="32"/>
          <w:szCs w:val="32"/>
          <w:highlight w:val="none"/>
          <w:lang w:val="en-US" w:eastAsia="zh-CN"/>
        </w:rPr>
        <w:t xml:space="preserve">    </w:t>
      </w:r>
      <w:r>
        <w:rPr>
          <w:rFonts w:ascii="Times New Roman" w:hAnsi="仿宋" w:eastAsia="仿宋" w:cs="Times New Roman"/>
          <w:bCs/>
          <w:color w:val="auto"/>
          <w:sz w:val="32"/>
          <w:szCs w:val="32"/>
          <w:highlight w:val="none"/>
        </w:rPr>
        <w:t>甲方向上述账户付款即视为已完成付款义务。乙方应对该账户真实性、合法性、有效性负责。本合同履行期间内，乙方变更上述收款账户信息的，应在甲方付款前以书面形式通知甲方并经甲方书面认可。</w:t>
      </w:r>
    </w:p>
    <w:p>
      <w:pPr>
        <w:widowControl/>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2</w:t>
      </w:r>
      <w:r>
        <w:rPr>
          <w:rFonts w:ascii="Times New Roman" w:hAnsi="仿宋" w:eastAsia="仿宋" w:cs="Times New Roman"/>
          <w:color w:val="auto"/>
          <w:sz w:val="32"/>
          <w:szCs w:val="32"/>
          <w:highlight w:val="none"/>
        </w:rPr>
        <w:t>）</w:t>
      </w:r>
      <w:r>
        <w:rPr>
          <w:rFonts w:ascii="Times New Roman" w:hAnsi="仿宋" w:eastAsia="仿宋" w:cs="Times New Roman"/>
          <w:bCs/>
          <w:color w:val="auto"/>
          <w:sz w:val="32"/>
          <w:szCs w:val="32"/>
          <w:highlight w:val="none"/>
        </w:rPr>
        <w:t>乙方开具的增值税专用发票不合格的，应在接到甲方要求后的</w:t>
      </w:r>
      <w:r>
        <w:rPr>
          <w:rFonts w:hint="eastAsia" w:ascii="Times New Roman" w:hAnsi="仿宋" w:eastAsia="仿宋" w:cs="Times New Roman"/>
          <w:bCs/>
          <w:color w:val="auto"/>
          <w:sz w:val="32"/>
          <w:szCs w:val="32"/>
          <w:highlight w:val="none"/>
        </w:rPr>
        <w:t>10</w:t>
      </w:r>
      <w:r>
        <w:rPr>
          <w:rFonts w:ascii="Times New Roman" w:hAnsi="仿宋" w:eastAsia="仿宋" w:cs="Times New Roman"/>
          <w:bCs/>
          <w:color w:val="auto"/>
          <w:sz w:val="32"/>
          <w:szCs w:val="32"/>
          <w:highlight w:val="none"/>
        </w:rPr>
        <w:t>个工作日内凭甲方退还的原不合格增值税专用发票的原件，重新开具合格的增值税发票并送达至甲方，乙方自行承担相关费用。</w:t>
      </w:r>
      <w:r>
        <w:rPr>
          <w:rFonts w:ascii="Times New Roman" w:hAnsi="仿宋" w:eastAsia="仿宋" w:cs="Times New Roman"/>
          <w:color w:val="auto"/>
          <w:sz w:val="32"/>
          <w:szCs w:val="32"/>
          <w:highlight w:val="none"/>
        </w:rPr>
        <w:t>同时乙方的各项合同义务仍应按合同约定履行，由此引起的一切法律责任和损失，均由乙方承担且不免除乙方开具合法发票的义务。</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hint="eastAsia" w:ascii="Times New Roman" w:hAnsi="Times New Roman" w:eastAsia="仿宋" w:cs="Times New Roman"/>
          <w:color w:val="auto"/>
          <w:sz w:val="32"/>
          <w:szCs w:val="32"/>
          <w:highlight w:val="none"/>
        </w:rPr>
        <w:t>3</w:t>
      </w:r>
      <w:r>
        <w:rPr>
          <w:rFonts w:ascii="Times New Roman" w:hAnsi="仿宋" w:eastAsia="仿宋" w:cs="Times New Roman"/>
          <w:color w:val="auto"/>
          <w:sz w:val="32"/>
          <w:szCs w:val="32"/>
          <w:highlight w:val="none"/>
        </w:rPr>
        <w:t>）乙方汇总开具增值税专用发票的，应同时提供其防伪税控系统开具的《销售货物或者提供应税劳务清单》，并加盖发票专用章。</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hint="eastAsia" w:ascii="Times New Roman" w:hAnsi="Times New Roman" w:eastAsia="仿宋" w:cs="Times New Roman"/>
          <w:color w:val="auto"/>
          <w:sz w:val="32"/>
          <w:szCs w:val="32"/>
          <w:highlight w:val="none"/>
        </w:rPr>
        <w:t>4</w:t>
      </w:r>
      <w:r>
        <w:rPr>
          <w:rFonts w:ascii="Times New Roman" w:hAnsi="仿宋" w:eastAsia="仿宋" w:cs="Times New Roman"/>
          <w:color w:val="auto"/>
          <w:sz w:val="32"/>
          <w:szCs w:val="32"/>
          <w:highlight w:val="none"/>
        </w:rPr>
        <w:t>）乙方开具的增值税专用发票在送达甲方后如发生丢失、灭失或被盗，乙方应按照税法规定和甲方的要求及时重新开具合格的增值税发票并送达至甲方。</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hint="eastAsia" w:ascii="Times New Roman" w:hAnsi="Times New Roman" w:eastAsia="仿宋" w:cs="Times New Roman"/>
          <w:color w:val="auto"/>
          <w:sz w:val="32"/>
          <w:szCs w:val="32"/>
          <w:highlight w:val="none"/>
        </w:rPr>
        <w:t>5</w:t>
      </w:r>
      <w:r>
        <w:rPr>
          <w:rFonts w:ascii="Times New Roman" w:hAnsi="仿宋" w:eastAsia="仿宋" w:cs="Times New Roman"/>
          <w:color w:val="auto"/>
          <w:sz w:val="32"/>
          <w:szCs w:val="32"/>
          <w:highlight w:val="none"/>
        </w:rPr>
        <w:t>）在本合同发生变更涉及增值税专用发票记载项目发生变化且符合红字发票开具情形的，如果甲方取得增值税专用发票尚未认证抵扣</w:t>
      </w:r>
      <w:r>
        <w:rPr>
          <w:rFonts w:hint="eastAsia" w:ascii="Times New Roman" w:hAnsi="Times New Roman" w:eastAsia="仿宋" w:cs="Times New Roman"/>
          <w:color w:val="auto"/>
          <w:sz w:val="32"/>
          <w:szCs w:val="32"/>
          <w:highlight w:val="none"/>
        </w:rPr>
        <w:t>，</w:t>
      </w:r>
      <w:r>
        <w:rPr>
          <w:rFonts w:ascii="Times New Roman" w:hAnsi="仿宋" w:eastAsia="仿宋" w:cs="Times New Roman"/>
          <w:color w:val="auto"/>
          <w:sz w:val="32"/>
          <w:szCs w:val="32"/>
          <w:highlight w:val="none"/>
        </w:rPr>
        <w:t>乙方应于专用发票认证期限内办理红字增值税专用发票开具申请，并重新开具增值税专用发票。如果原增值税专用发票已经抵扣，乙方就合同增加的金额补开增值税专用发票，就减少的金额甲方负责办理红字增值税专用发票开具申请，乙方开具红字增值税专用发票。</w:t>
      </w:r>
    </w:p>
    <w:p>
      <w:pPr>
        <w:pStyle w:val="18"/>
        <w:spacing w:line="540" w:lineRule="exact"/>
        <w:ind w:leftChars="103" w:firstLine="480" w:firstLineChars="150"/>
        <w:rPr>
          <w:rFonts w:ascii="Times New Roman" w:hAnsi="Times New Roman" w:eastAsia="仿宋"/>
          <w:color w:val="auto"/>
          <w:sz w:val="32"/>
          <w:szCs w:val="32"/>
          <w:highlight w:val="none"/>
        </w:rPr>
      </w:pPr>
      <w:r>
        <w:rPr>
          <w:rFonts w:hint="eastAsia" w:ascii="Times New Roman" w:hAnsi="仿宋" w:eastAsia="仿宋"/>
          <w:color w:val="auto"/>
          <w:sz w:val="32"/>
          <w:szCs w:val="32"/>
          <w:highlight w:val="none"/>
        </w:rPr>
        <w:t xml:space="preserve">第四条 </w:t>
      </w:r>
      <w:r>
        <w:rPr>
          <w:rFonts w:ascii="Times New Roman" w:hAnsi="仿宋" w:eastAsia="仿宋"/>
          <w:color w:val="auto"/>
          <w:sz w:val="32"/>
          <w:szCs w:val="32"/>
          <w:highlight w:val="none"/>
        </w:rPr>
        <w:t>项目工作要求</w:t>
      </w:r>
    </w:p>
    <w:p>
      <w:pPr>
        <w:widowControl/>
        <w:spacing w:line="540" w:lineRule="exact"/>
        <w:ind w:left="160" w:leftChars="76"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 xml:space="preserve">4.1 </w:t>
      </w:r>
      <w:r>
        <w:rPr>
          <w:rFonts w:ascii="Times New Roman" w:hAnsi="仿宋" w:eastAsia="仿宋" w:cs="Times New Roman"/>
          <w:color w:val="auto"/>
          <w:sz w:val="32"/>
          <w:szCs w:val="32"/>
          <w:highlight w:val="none"/>
        </w:rPr>
        <w:t>为保证本项目顺利进行，甲方应指定</w:t>
      </w:r>
      <w:r>
        <w:rPr>
          <w:rFonts w:ascii="Times New Roman" w:hAnsi="Times New Roman" w:eastAsia="仿宋" w:cs="Times New Roman"/>
          <w:color w:val="auto"/>
          <w:sz w:val="32"/>
          <w:szCs w:val="32"/>
          <w:highlight w:val="none"/>
        </w:rPr>
        <w:t>1</w:t>
      </w:r>
      <w:r>
        <w:rPr>
          <w:rFonts w:ascii="Times New Roman" w:hAnsi="仿宋" w:eastAsia="仿宋" w:cs="Times New Roman"/>
          <w:color w:val="auto"/>
          <w:sz w:val="32"/>
          <w:szCs w:val="32"/>
          <w:highlight w:val="none"/>
        </w:rPr>
        <w:t>名代表人</w:t>
      </w:r>
      <w:r>
        <w:rPr>
          <w:rFonts w:hint="eastAsia" w:ascii="Times New Roman" w:hAnsi="仿宋" w:eastAsia="仿宋" w:cs="Times New Roman"/>
          <w:color w:val="auto"/>
          <w:sz w:val="32"/>
          <w:szCs w:val="32"/>
          <w:highlight w:val="none"/>
          <w:u w:val="single"/>
        </w:rPr>
        <w:t>（姓</w:t>
      </w:r>
      <w:r>
        <w:rPr>
          <w:rFonts w:hint="eastAsia" w:ascii="Times New Roman" w:hAnsi="仿宋" w:eastAsia="仿宋" w:cs="Times New Roman"/>
          <w:color w:val="auto"/>
          <w:sz w:val="32"/>
          <w:szCs w:val="32"/>
          <w:highlight w:val="none"/>
          <w:u w:val="single"/>
          <w:lang w:val="en-US" w:eastAsia="zh-CN"/>
        </w:rPr>
        <w:t xml:space="preserve">名：   </w:t>
      </w:r>
      <w:r>
        <w:rPr>
          <w:rFonts w:hint="eastAsia" w:ascii="Times New Roman" w:hAnsi="仿宋" w:eastAsia="仿宋" w:cs="Times New Roman"/>
          <w:color w:val="auto"/>
          <w:sz w:val="32"/>
          <w:szCs w:val="32"/>
          <w:highlight w:val="none"/>
        </w:rPr>
        <w:t>，</w:t>
      </w:r>
      <w:r>
        <w:rPr>
          <w:rFonts w:hint="eastAsia" w:ascii="Times New Roman" w:hAnsi="仿宋" w:eastAsia="仿宋" w:cs="Times New Roman"/>
          <w:color w:val="auto"/>
          <w:sz w:val="32"/>
          <w:szCs w:val="32"/>
          <w:highlight w:val="none"/>
          <w:u w:val="single"/>
        </w:rPr>
        <w:t>手机号码：</w:t>
      </w:r>
      <w:r>
        <w:rPr>
          <w:rFonts w:hint="eastAsia" w:ascii="Times New Roman" w:hAnsi="仿宋" w:eastAsia="仿宋" w:cs="Times New Roman"/>
          <w:color w:val="auto"/>
          <w:sz w:val="32"/>
          <w:szCs w:val="32"/>
          <w:highlight w:val="none"/>
          <w:u w:val="single"/>
          <w:lang w:val="en-US" w:eastAsia="zh-CN"/>
        </w:rPr>
        <w:t xml:space="preserve">          </w:t>
      </w:r>
      <w:r>
        <w:rPr>
          <w:rFonts w:hint="eastAsia" w:ascii="Times New Roman" w:hAnsi="仿宋" w:eastAsia="仿宋" w:cs="Times New Roman"/>
          <w:color w:val="auto"/>
          <w:sz w:val="32"/>
          <w:szCs w:val="32"/>
          <w:highlight w:val="none"/>
        </w:rPr>
        <w:t>）</w:t>
      </w:r>
      <w:r>
        <w:rPr>
          <w:rFonts w:ascii="Times New Roman" w:hAnsi="仿宋" w:eastAsia="仿宋" w:cs="Times New Roman"/>
          <w:color w:val="auto"/>
          <w:sz w:val="32"/>
          <w:szCs w:val="32"/>
          <w:highlight w:val="none"/>
        </w:rPr>
        <w:t>作为所有项目成果确认接收人员。该负责人职能是：</w:t>
      </w:r>
    </w:p>
    <w:p>
      <w:pPr>
        <w:tabs>
          <w:tab w:val="left" w:pos="84"/>
        </w:tabs>
        <w:spacing w:line="540" w:lineRule="exact"/>
        <w:ind w:firstLine="640" w:firstLineChars="200"/>
        <w:rPr>
          <w:rFonts w:ascii="Times New Roman" w:hAnsi="Times New Roman" w:eastAsia="仿宋" w:cs="Times New Roman"/>
          <w:bCs/>
          <w:color w:val="auto"/>
          <w:sz w:val="32"/>
          <w:szCs w:val="32"/>
          <w:highlight w:val="none"/>
        </w:rPr>
      </w:pPr>
      <w:r>
        <w:rPr>
          <w:rFonts w:ascii="仿宋" w:hAnsi="仿宋" w:eastAsia="仿宋" w:cs="Times New Roman"/>
          <w:bCs/>
          <w:color w:val="auto"/>
          <w:sz w:val="32"/>
          <w:szCs w:val="32"/>
          <w:highlight w:val="none"/>
        </w:rPr>
        <w:t>①</w:t>
      </w:r>
      <w:r>
        <w:rPr>
          <w:rFonts w:hint="eastAsia" w:ascii="仿宋" w:hAnsi="仿宋" w:eastAsia="仿宋" w:cs="Times New Roman"/>
          <w:bCs/>
          <w:color w:val="auto"/>
          <w:sz w:val="32"/>
          <w:szCs w:val="32"/>
          <w:highlight w:val="none"/>
        </w:rPr>
        <w:t>及时转达甲方有关会议精神和领导讲话精神，按照甲方</w:t>
      </w:r>
      <w:r>
        <w:rPr>
          <w:rFonts w:hint="eastAsia" w:ascii="仿宋" w:hAnsi="仿宋" w:eastAsia="仿宋" w:cs="Times New Roman"/>
          <w:bCs/>
          <w:color w:val="auto"/>
          <w:sz w:val="32"/>
          <w:szCs w:val="32"/>
          <w:highlight w:val="none"/>
          <w:lang w:val="en-US" w:eastAsia="zh-CN"/>
        </w:rPr>
        <w:t>对网络学习平台培训服务的</w:t>
      </w:r>
      <w:r>
        <w:rPr>
          <w:rFonts w:hint="eastAsia" w:ascii="仿宋" w:hAnsi="仿宋" w:eastAsia="仿宋" w:cs="Times New Roman"/>
          <w:bCs/>
          <w:color w:val="auto"/>
          <w:sz w:val="32"/>
          <w:szCs w:val="32"/>
          <w:highlight w:val="none"/>
        </w:rPr>
        <w:t>要求，</w:t>
      </w:r>
      <w:r>
        <w:rPr>
          <w:rFonts w:ascii="Times New Roman" w:hAnsi="仿宋" w:eastAsia="仿宋" w:cs="Times New Roman"/>
          <w:bCs/>
          <w:color w:val="auto"/>
          <w:sz w:val="32"/>
          <w:szCs w:val="32"/>
          <w:highlight w:val="none"/>
        </w:rPr>
        <w:t>设定</w:t>
      </w:r>
      <w:r>
        <w:rPr>
          <w:rFonts w:hint="eastAsia" w:ascii="Times New Roman" w:hAnsi="仿宋" w:eastAsia="仿宋" w:cs="Times New Roman"/>
          <w:bCs/>
          <w:color w:val="auto"/>
          <w:sz w:val="32"/>
          <w:szCs w:val="32"/>
          <w:highlight w:val="none"/>
          <w:lang w:val="en-US" w:eastAsia="zh-CN"/>
        </w:rPr>
        <w:t>和调整服务内容</w:t>
      </w:r>
      <w:r>
        <w:rPr>
          <w:rFonts w:hint="eastAsia" w:ascii="Times New Roman" w:hAnsi="仿宋" w:eastAsia="仿宋" w:cs="Times New Roman"/>
          <w:bCs/>
          <w:color w:val="auto"/>
          <w:sz w:val="32"/>
          <w:szCs w:val="32"/>
          <w:highlight w:val="none"/>
        </w:rPr>
        <w:t>；</w:t>
      </w:r>
    </w:p>
    <w:p>
      <w:pPr>
        <w:tabs>
          <w:tab w:val="left" w:pos="84"/>
        </w:tabs>
        <w:spacing w:line="540" w:lineRule="exact"/>
        <w:ind w:firstLine="640" w:firstLineChars="200"/>
        <w:rPr>
          <w:rFonts w:ascii="Times New Roman" w:hAnsi="Times New Roman" w:eastAsia="仿宋" w:cs="Times New Roman"/>
          <w:bCs/>
          <w:color w:val="auto"/>
          <w:sz w:val="32"/>
          <w:szCs w:val="32"/>
          <w:highlight w:val="none"/>
        </w:rPr>
      </w:pPr>
      <w:r>
        <w:rPr>
          <w:rFonts w:ascii="仿宋" w:hAnsi="仿宋" w:eastAsia="仿宋" w:cs="Times New Roman"/>
          <w:bCs/>
          <w:color w:val="auto"/>
          <w:sz w:val="32"/>
          <w:szCs w:val="32"/>
          <w:highlight w:val="none"/>
        </w:rPr>
        <w:t>②</w:t>
      </w:r>
      <w:r>
        <w:rPr>
          <w:rFonts w:hint="eastAsia" w:ascii="仿宋" w:hAnsi="仿宋" w:eastAsia="仿宋" w:cs="Times New Roman"/>
          <w:bCs/>
          <w:color w:val="auto"/>
          <w:sz w:val="32"/>
          <w:szCs w:val="32"/>
          <w:highlight w:val="none"/>
          <w:lang w:val="en-US" w:eastAsia="zh-CN"/>
        </w:rPr>
        <w:t>提供服务内容对应的平台运营所需的相关材料</w:t>
      </w:r>
      <w:r>
        <w:rPr>
          <w:rFonts w:hint="eastAsia" w:ascii="Times New Roman" w:hAnsi="仿宋" w:eastAsia="仿宋" w:cs="Times New Roman"/>
          <w:bCs/>
          <w:color w:val="auto"/>
          <w:sz w:val="32"/>
          <w:szCs w:val="32"/>
          <w:highlight w:val="none"/>
        </w:rPr>
        <w:t>；</w:t>
      </w:r>
    </w:p>
    <w:p>
      <w:pPr>
        <w:tabs>
          <w:tab w:val="left" w:pos="84"/>
        </w:tabs>
        <w:spacing w:line="540" w:lineRule="exact"/>
        <w:ind w:firstLine="640" w:firstLineChars="200"/>
        <w:rPr>
          <w:rFonts w:ascii="Times New Roman" w:hAnsi="Times New Roman" w:eastAsia="仿宋" w:cs="Times New Roman"/>
          <w:bCs/>
          <w:color w:val="auto"/>
          <w:sz w:val="32"/>
          <w:szCs w:val="32"/>
          <w:highlight w:val="none"/>
        </w:rPr>
      </w:pPr>
      <w:r>
        <w:rPr>
          <w:rFonts w:ascii="仿宋" w:hAnsi="仿宋" w:eastAsia="仿宋" w:cs="Times New Roman"/>
          <w:bCs/>
          <w:color w:val="auto"/>
          <w:sz w:val="32"/>
          <w:szCs w:val="32"/>
          <w:highlight w:val="none"/>
        </w:rPr>
        <w:t>③</w:t>
      </w:r>
      <w:r>
        <w:rPr>
          <w:rFonts w:ascii="Times New Roman" w:hAnsi="仿宋" w:eastAsia="仿宋" w:cs="Times New Roman"/>
          <w:bCs/>
          <w:color w:val="auto"/>
          <w:sz w:val="32"/>
          <w:szCs w:val="32"/>
          <w:highlight w:val="none"/>
        </w:rPr>
        <w:t>听取</w:t>
      </w:r>
      <w:r>
        <w:rPr>
          <w:rFonts w:hint="eastAsia" w:ascii="Times New Roman" w:hAnsi="仿宋" w:eastAsia="仿宋" w:cs="Times New Roman"/>
          <w:bCs/>
          <w:color w:val="auto"/>
          <w:sz w:val="32"/>
          <w:szCs w:val="32"/>
          <w:highlight w:val="none"/>
          <w:lang w:val="en-US" w:eastAsia="zh-CN"/>
        </w:rPr>
        <w:t>乙方</w:t>
      </w:r>
      <w:r>
        <w:rPr>
          <w:rFonts w:hint="eastAsia" w:ascii="Times New Roman" w:hAnsi="仿宋" w:eastAsia="仿宋" w:cs="Times New Roman"/>
          <w:bCs/>
          <w:color w:val="auto"/>
          <w:sz w:val="32"/>
          <w:szCs w:val="32"/>
          <w:highlight w:val="none"/>
        </w:rPr>
        <w:t>阶段性服务成果</w:t>
      </w:r>
      <w:r>
        <w:rPr>
          <w:rFonts w:ascii="Times New Roman" w:hAnsi="仿宋" w:eastAsia="仿宋" w:cs="Times New Roman"/>
          <w:bCs/>
          <w:color w:val="auto"/>
          <w:sz w:val="32"/>
          <w:szCs w:val="32"/>
          <w:highlight w:val="none"/>
        </w:rPr>
        <w:t>工作汇报</w:t>
      </w:r>
      <w:r>
        <w:rPr>
          <w:rFonts w:hint="eastAsia" w:ascii="Times New Roman" w:hAnsi="仿宋" w:eastAsia="仿宋" w:cs="Times New Roman"/>
          <w:bCs/>
          <w:color w:val="auto"/>
          <w:sz w:val="32"/>
          <w:szCs w:val="32"/>
          <w:highlight w:val="none"/>
        </w:rPr>
        <w:t>；</w:t>
      </w:r>
    </w:p>
    <w:p>
      <w:pPr>
        <w:tabs>
          <w:tab w:val="left" w:pos="84"/>
        </w:tabs>
        <w:spacing w:line="540" w:lineRule="exact"/>
        <w:ind w:firstLine="640" w:firstLineChars="200"/>
        <w:rPr>
          <w:rFonts w:ascii="Times New Roman" w:hAnsi="Times New Roman" w:eastAsia="仿宋" w:cs="Times New Roman"/>
          <w:bCs/>
          <w:color w:val="auto"/>
          <w:sz w:val="32"/>
          <w:szCs w:val="32"/>
          <w:highlight w:val="none"/>
        </w:rPr>
      </w:pPr>
      <w:r>
        <w:rPr>
          <w:rFonts w:ascii="仿宋" w:hAnsi="仿宋" w:eastAsia="仿宋" w:cs="Times New Roman"/>
          <w:bCs/>
          <w:color w:val="auto"/>
          <w:sz w:val="32"/>
          <w:szCs w:val="32"/>
          <w:highlight w:val="none"/>
        </w:rPr>
        <w:t>④</w:t>
      </w:r>
      <w:r>
        <w:rPr>
          <w:rFonts w:ascii="Times New Roman" w:hAnsi="仿宋" w:eastAsia="仿宋" w:cs="Times New Roman"/>
          <w:bCs/>
          <w:color w:val="auto"/>
          <w:sz w:val="32"/>
          <w:szCs w:val="32"/>
          <w:highlight w:val="none"/>
        </w:rPr>
        <w:t>对</w:t>
      </w:r>
      <w:r>
        <w:rPr>
          <w:rFonts w:hint="eastAsia" w:ascii="Times New Roman" w:hAnsi="仿宋" w:eastAsia="仿宋" w:cs="Times New Roman"/>
          <w:bCs/>
          <w:color w:val="auto"/>
          <w:sz w:val="32"/>
          <w:szCs w:val="32"/>
          <w:highlight w:val="none"/>
        </w:rPr>
        <w:t>阶段性服务成果</w:t>
      </w:r>
      <w:r>
        <w:rPr>
          <w:rFonts w:ascii="Times New Roman" w:hAnsi="仿宋" w:eastAsia="仿宋" w:cs="Times New Roman"/>
          <w:bCs/>
          <w:color w:val="auto"/>
          <w:sz w:val="32"/>
          <w:szCs w:val="32"/>
          <w:highlight w:val="none"/>
        </w:rPr>
        <w:t>进行评估和验收。</w:t>
      </w:r>
    </w:p>
    <w:p>
      <w:pPr>
        <w:spacing w:line="540" w:lineRule="exact"/>
        <w:ind w:firstLine="640" w:firstLineChars="200"/>
        <w:jc w:val="both"/>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 xml:space="preserve">4.2 </w:t>
      </w:r>
      <w:r>
        <w:rPr>
          <w:rFonts w:ascii="Times New Roman" w:hAnsi="仿宋" w:eastAsia="仿宋" w:cs="Times New Roman"/>
          <w:color w:val="auto"/>
          <w:sz w:val="32"/>
          <w:szCs w:val="32"/>
          <w:highlight w:val="none"/>
        </w:rPr>
        <w:t>本合同签订后，</w:t>
      </w:r>
      <w:r>
        <w:rPr>
          <w:rFonts w:hint="eastAsia" w:ascii="Times New Roman" w:hAnsi="仿宋" w:eastAsia="仿宋" w:cs="Times New Roman"/>
          <w:color w:val="auto"/>
          <w:sz w:val="32"/>
          <w:szCs w:val="32"/>
          <w:highlight w:val="none"/>
          <w:lang w:val="en-US" w:eastAsia="zh-CN"/>
        </w:rPr>
        <w:t>乙方</w:t>
      </w:r>
      <w:r>
        <w:rPr>
          <w:rFonts w:ascii="Times New Roman" w:hAnsi="仿宋" w:eastAsia="仿宋" w:cs="Times New Roman"/>
          <w:color w:val="auto"/>
          <w:sz w:val="32"/>
          <w:szCs w:val="32"/>
          <w:highlight w:val="none"/>
        </w:rPr>
        <w:t>应向</w:t>
      </w:r>
      <w:r>
        <w:rPr>
          <w:rFonts w:hint="eastAsia" w:ascii="Times New Roman" w:hAnsi="仿宋" w:eastAsia="仿宋" w:cs="Times New Roman"/>
          <w:color w:val="auto"/>
          <w:sz w:val="32"/>
          <w:szCs w:val="32"/>
          <w:highlight w:val="none"/>
        </w:rPr>
        <w:t>甲方</w:t>
      </w:r>
      <w:r>
        <w:rPr>
          <w:rFonts w:ascii="Times New Roman" w:hAnsi="仿宋" w:eastAsia="仿宋" w:cs="Times New Roman"/>
          <w:color w:val="auto"/>
          <w:sz w:val="32"/>
          <w:szCs w:val="32"/>
          <w:highlight w:val="none"/>
        </w:rPr>
        <w:t>领导小组提交详细的整体和分阶段的具体的工作计划与步骤，包括但不限于</w:t>
      </w:r>
      <w:r>
        <w:rPr>
          <w:rFonts w:hint="eastAsia" w:ascii="Times New Roman" w:hAnsi="仿宋" w:eastAsia="仿宋" w:cs="Times New Roman"/>
          <w:color w:val="auto"/>
          <w:sz w:val="32"/>
          <w:szCs w:val="32"/>
          <w:highlight w:val="none"/>
          <w:lang w:val="en-US" w:eastAsia="zh-CN"/>
        </w:rPr>
        <w:t>服务范围</w:t>
      </w:r>
      <w:r>
        <w:rPr>
          <w:rFonts w:ascii="Times New Roman" w:hAnsi="仿宋" w:eastAsia="仿宋" w:cs="Times New Roman"/>
          <w:color w:val="auto"/>
          <w:sz w:val="32"/>
          <w:szCs w:val="32"/>
          <w:highlight w:val="none"/>
        </w:rPr>
        <w:t>、时间进度、人员</w:t>
      </w:r>
      <w:r>
        <w:rPr>
          <w:rFonts w:hint="eastAsia" w:ascii="Times New Roman" w:hAnsi="仿宋" w:eastAsia="仿宋" w:cs="Times New Roman"/>
          <w:color w:val="auto"/>
          <w:sz w:val="32"/>
          <w:szCs w:val="32"/>
          <w:highlight w:val="none"/>
          <w:lang w:val="en-US" w:eastAsia="zh-CN"/>
        </w:rPr>
        <w:t>安排</w:t>
      </w:r>
      <w:r>
        <w:rPr>
          <w:rFonts w:ascii="Times New Roman" w:hAnsi="仿宋" w:eastAsia="仿宋" w:cs="Times New Roman"/>
          <w:color w:val="auto"/>
          <w:sz w:val="32"/>
          <w:szCs w:val="32"/>
          <w:highlight w:val="none"/>
        </w:rPr>
        <w:t>、每个阶段的成果</w:t>
      </w:r>
      <w:r>
        <w:rPr>
          <w:rFonts w:hint="eastAsia" w:ascii="Times New Roman" w:hAnsi="仿宋" w:eastAsia="仿宋" w:cs="Times New Roman"/>
          <w:color w:val="auto"/>
          <w:sz w:val="32"/>
          <w:szCs w:val="32"/>
          <w:highlight w:val="none"/>
          <w:lang w:val="en-US" w:eastAsia="zh-CN"/>
        </w:rPr>
        <w:t>内容</w:t>
      </w:r>
      <w:r>
        <w:rPr>
          <w:rFonts w:ascii="Times New Roman" w:hAnsi="仿宋" w:eastAsia="仿宋" w:cs="Times New Roman"/>
          <w:color w:val="auto"/>
          <w:sz w:val="32"/>
          <w:szCs w:val="32"/>
          <w:highlight w:val="none"/>
        </w:rPr>
        <w:t>及提交形式、相关培训安排等。</w:t>
      </w:r>
      <w:r>
        <w:rPr>
          <w:rFonts w:hint="eastAsia" w:ascii="Times New Roman" w:hAnsi="仿宋" w:eastAsia="仿宋" w:cs="Times New Roman"/>
          <w:color w:val="auto"/>
          <w:sz w:val="32"/>
          <w:szCs w:val="32"/>
          <w:highlight w:val="none"/>
          <w:lang w:val="en-US" w:eastAsia="zh-CN"/>
        </w:rPr>
        <w:t>乙方</w:t>
      </w:r>
      <w:r>
        <w:rPr>
          <w:rFonts w:ascii="Times New Roman" w:hAnsi="仿宋" w:eastAsia="仿宋" w:cs="Times New Roman"/>
          <w:color w:val="auto"/>
          <w:sz w:val="32"/>
          <w:szCs w:val="32"/>
          <w:highlight w:val="none"/>
        </w:rPr>
        <w:t>在完成每阶段工作计划时，应提交《</w:t>
      </w:r>
      <w:r>
        <w:rPr>
          <w:rFonts w:hint="eastAsia" w:ascii="Times New Roman" w:hAnsi="仿宋" w:eastAsia="仿宋" w:cs="Times New Roman"/>
          <w:color w:val="auto"/>
          <w:sz w:val="32"/>
          <w:szCs w:val="32"/>
          <w:highlight w:val="none"/>
          <w:lang w:val="en-US" w:eastAsia="zh-CN"/>
        </w:rPr>
        <w:t>服务</w:t>
      </w:r>
      <w:r>
        <w:rPr>
          <w:rFonts w:ascii="Times New Roman" w:hAnsi="仿宋" w:eastAsia="仿宋" w:cs="Times New Roman"/>
          <w:color w:val="auto"/>
          <w:sz w:val="32"/>
          <w:szCs w:val="32"/>
          <w:highlight w:val="none"/>
        </w:rPr>
        <w:t>成果检核确认单》给甲方确认，由代表人签字确认或提出书面意见。《阶段工作计划》的确认方式亦同此。</w:t>
      </w:r>
    </w:p>
    <w:p>
      <w:pPr>
        <w:spacing w:line="540" w:lineRule="exact"/>
        <w:ind w:firstLine="640" w:firstLineChars="200"/>
        <w:jc w:val="both"/>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4.</w:t>
      </w:r>
      <w:r>
        <w:rPr>
          <w:rFonts w:hint="eastAsia" w:ascii="Times New Roman" w:hAnsi="Times New Roman" w:eastAsia="仿宋" w:cs="Times New Roman"/>
          <w:color w:val="auto"/>
          <w:sz w:val="32"/>
          <w:szCs w:val="32"/>
          <w:highlight w:val="none"/>
          <w:lang w:val="en-US" w:eastAsia="zh-CN"/>
        </w:rPr>
        <w:t>3</w:t>
      </w:r>
      <w:r>
        <w:rPr>
          <w:rFonts w:hint="eastAsia" w:ascii="Times New Roman" w:hAnsi="Times New Roman" w:eastAsia="仿宋" w:cs="Times New Roman"/>
          <w:color w:val="auto"/>
          <w:sz w:val="32"/>
          <w:szCs w:val="32"/>
          <w:highlight w:val="none"/>
        </w:rPr>
        <w:t xml:space="preserve"> </w:t>
      </w:r>
      <w:r>
        <w:rPr>
          <w:rFonts w:ascii="Times New Roman" w:hAnsi="仿宋" w:eastAsia="仿宋" w:cs="Times New Roman"/>
          <w:color w:val="auto"/>
          <w:sz w:val="32"/>
          <w:szCs w:val="32"/>
          <w:highlight w:val="none"/>
        </w:rPr>
        <w:t>在项目运作过程中，如果甲方的需求发生重要的调整，乙方在不影响项目整体进程的前提下，与甲方共同确定新的项目执行计划。</w:t>
      </w:r>
    </w:p>
    <w:p>
      <w:pPr>
        <w:spacing w:line="540" w:lineRule="exact"/>
        <w:ind w:firstLine="640" w:firstLineChars="200"/>
        <w:jc w:val="both"/>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rPr>
        <w:t>4.</w:t>
      </w:r>
      <w:r>
        <w:rPr>
          <w:rFonts w:hint="eastAsia" w:ascii="Times New Roman" w:hAnsi="Times New Roman" w:eastAsia="仿宋" w:cs="Times New Roman"/>
          <w:color w:val="auto"/>
          <w:sz w:val="32"/>
          <w:szCs w:val="32"/>
          <w:highlight w:val="none"/>
          <w:lang w:val="en-US" w:eastAsia="zh-CN"/>
        </w:rPr>
        <w:t>4</w:t>
      </w:r>
      <w:r>
        <w:rPr>
          <w:rFonts w:hint="eastAsia" w:ascii="Times New Roman" w:hAnsi="Times New Roman" w:eastAsia="仿宋" w:cs="Times New Roman"/>
          <w:color w:val="auto"/>
          <w:sz w:val="32"/>
          <w:szCs w:val="32"/>
          <w:highlight w:val="none"/>
        </w:rPr>
        <w:t xml:space="preserve"> </w:t>
      </w:r>
      <w:r>
        <w:rPr>
          <w:rFonts w:ascii="Times New Roman" w:hAnsi="仿宋" w:eastAsia="仿宋" w:cs="Times New Roman"/>
          <w:color w:val="auto"/>
          <w:sz w:val="32"/>
          <w:szCs w:val="32"/>
          <w:highlight w:val="none"/>
        </w:rPr>
        <w:t>在项目运作过程中，</w:t>
      </w:r>
      <w:r>
        <w:rPr>
          <w:rFonts w:hint="eastAsia" w:ascii="Times New Roman" w:hAnsi="仿宋" w:eastAsia="仿宋" w:cs="Times New Roman"/>
          <w:color w:val="auto"/>
          <w:sz w:val="32"/>
          <w:szCs w:val="32"/>
          <w:highlight w:val="none"/>
          <w:lang w:val="en-US" w:eastAsia="zh-CN"/>
        </w:rPr>
        <w:t>如果</w:t>
      </w:r>
      <w:r>
        <w:rPr>
          <w:rFonts w:ascii="Times New Roman" w:hAnsi="仿宋" w:eastAsia="仿宋" w:cs="Times New Roman"/>
          <w:color w:val="auto"/>
          <w:sz w:val="32"/>
          <w:szCs w:val="32"/>
          <w:highlight w:val="none"/>
        </w:rPr>
        <w:t>乙方</w:t>
      </w:r>
      <w:r>
        <w:rPr>
          <w:rFonts w:hint="eastAsia" w:ascii="Times New Roman" w:hAnsi="仿宋" w:eastAsia="仿宋" w:cs="Times New Roman"/>
          <w:color w:val="auto"/>
          <w:sz w:val="32"/>
          <w:szCs w:val="32"/>
          <w:highlight w:val="none"/>
          <w:lang w:val="en-US" w:eastAsia="zh-CN"/>
        </w:rPr>
        <w:t>需</w:t>
      </w:r>
      <w:r>
        <w:rPr>
          <w:rFonts w:ascii="Times New Roman" w:hAnsi="仿宋" w:eastAsia="仿宋" w:cs="Times New Roman"/>
          <w:color w:val="auto"/>
          <w:sz w:val="32"/>
          <w:szCs w:val="32"/>
          <w:highlight w:val="none"/>
        </w:rPr>
        <w:t>组织团队</w:t>
      </w:r>
      <w:r>
        <w:rPr>
          <w:rFonts w:hint="eastAsia" w:ascii="Times New Roman" w:hAnsi="仿宋" w:eastAsia="仿宋" w:cs="Times New Roman"/>
          <w:color w:val="auto"/>
          <w:sz w:val="32"/>
          <w:szCs w:val="32"/>
          <w:highlight w:val="none"/>
          <w:lang w:val="en-US" w:eastAsia="zh-CN"/>
        </w:rPr>
        <w:t>现场</w:t>
      </w:r>
      <w:r>
        <w:rPr>
          <w:rFonts w:hint="eastAsia" w:hAnsi="仿宋" w:eastAsia="仿宋" w:cs="Times New Roman"/>
          <w:color w:val="auto"/>
          <w:sz w:val="32"/>
          <w:szCs w:val="32"/>
          <w:highlight w:val="none"/>
          <w:lang w:val="en-US" w:eastAsia="zh-CN"/>
        </w:rPr>
        <w:t>开展</w:t>
      </w:r>
      <w:r>
        <w:rPr>
          <w:rFonts w:hint="eastAsia" w:ascii="Times New Roman" w:hAnsi="仿宋" w:eastAsia="仿宋" w:cs="Times New Roman"/>
          <w:color w:val="auto"/>
          <w:sz w:val="32"/>
          <w:szCs w:val="32"/>
          <w:highlight w:val="none"/>
          <w:lang w:val="en-US" w:eastAsia="zh-CN"/>
        </w:rPr>
        <w:t>相关</w:t>
      </w:r>
      <w:r>
        <w:rPr>
          <w:rFonts w:ascii="Times New Roman" w:hAnsi="仿宋" w:eastAsia="仿宋" w:cs="Times New Roman"/>
          <w:color w:val="auto"/>
          <w:sz w:val="32"/>
          <w:szCs w:val="32"/>
          <w:highlight w:val="none"/>
        </w:rPr>
        <w:t>服务，甲方为乙方</w:t>
      </w:r>
      <w:r>
        <w:rPr>
          <w:rFonts w:hint="eastAsia" w:ascii="Times New Roman" w:hAnsi="仿宋" w:eastAsia="仿宋" w:cs="Times New Roman"/>
          <w:color w:val="auto"/>
          <w:sz w:val="32"/>
          <w:szCs w:val="32"/>
          <w:highlight w:val="none"/>
          <w:lang w:val="en-US" w:eastAsia="zh-CN"/>
        </w:rPr>
        <w:t>驻点人员</w:t>
      </w:r>
      <w:r>
        <w:rPr>
          <w:rFonts w:ascii="Times New Roman" w:hAnsi="仿宋" w:eastAsia="仿宋" w:cs="Times New Roman"/>
          <w:color w:val="auto"/>
          <w:sz w:val="32"/>
          <w:szCs w:val="32"/>
          <w:highlight w:val="none"/>
        </w:rPr>
        <w:t>提供办公场所，并提供相关办公用品为项目使用</w:t>
      </w:r>
      <w:r>
        <w:rPr>
          <w:rFonts w:hint="eastAsia" w:ascii="Times New Roman" w:hAnsi="仿宋" w:eastAsia="仿宋" w:cs="Times New Roman"/>
          <w:color w:val="auto"/>
          <w:sz w:val="32"/>
          <w:szCs w:val="32"/>
          <w:highlight w:val="none"/>
          <w:lang w:eastAsia="zh-CN"/>
        </w:rPr>
        <w:t>，</w:t>
      </w:r>
      <w:r>
        <w:rPr>
          <w:rFonts w:ascii="Times New Roman" w:hAnsi="仿宋" w:eastAsia="仿宋" w:cs="Times New Roman"/>
          <w:color w:val="auto"/>
          <w:sz w:val="32"/>
          <w:szCs w:val="32"/>
          <w:highlight w:val="none"/>
        </w:rPr>
        <w:t>甲方可以协助乙方安排食宿、交通，但所需费用由乙方自行承担。</w:t>
      </w:r>
      <w:r>
        <w:rPr>
          <w:rFonts w:hint="eastAsia" w:hAnsi="仿宋" w:eastAsia="仿宋" w:cs="Times New Roman"/>
          <w:color w:val="auto"/>
          <w:sz w:val="32"/>
          <w:szCs w:val="32"/>
          <w:highlight w:val="none"/>
          <w:lang w:val="en-US" w:eastAsia="zh-CN"/>
        </w:rPr>
        <w:t>乙方为驻点人员的用人单位，甲方与驻点人员之间不存在任何形式的劳动/劳务关系。乙方应按照劳动法律、法规、政策规定按时支付驻点人员的劳动报酬，依法为其缴纳社会保险。甲方为驻点人员提供工作环境，驻点人员在本合同履行期内发生的人身伤亡或者工伤事件、疾病、其他意外事件均由乙方自行处理，甲方不承担相关责任。乙方应约束驻点人员遵守甲方办公场所有关管理制度。</w:t>
      </w:r>
    </w:p>
    <w:p>
      <w:pPr>
        <w:spacing w:line="540" w:lineRule="exact"/>
        <w:ind w:firstLine="640" w:firstLineChars="200"/>
        <w:jc w:val="both"/>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4.</w:t>
      </w:r>
      <w:r>
        <w:rPr>
          <w:rFonts w:hint="eastAsia" w:ascii="Times New Roman" w:hAnsi="Times New Roman" w:eastAsia="仿宋" w:cs="Times New Roman"/>
          <w:color w:val="auto"/>
          <w:sz w:val="32"/>
          <w:szCs w:val="32"/>
          <w:highlight w:val="none"/>
          <w:lang w:val="en-US" w:eastAsia="zh-CN"/>
        </w:rPr>
        <w:t>5</w:t>
      </w:r>
      <w:r>
        <w:rPr>
          <w:rFonts w:hint="eastAsia" w:ascii="Times New Roman" w:hAnsi="Times New Roman" w:eastAsia="仿宋" w:cs="Times New Roman"/>
          <w:color w:val="auto"/>
          <w:sz w:val="32"/>
          <w:szCs w:val="32"/>
          <w:highlight w:val="none"/>
        </w:rPr>
        <w:t xml:space="preserve"> </w:t>
      </w:r>
      <w:r>
        <w:rPr>
          <w:rFonts w:ascii="Times New Roman" w:hAnsi="仿宋" w:eastAsia="仿宋" w:cs="Times New Roman"/>
          <w:color w:val="auto"/>
          <w:sz w:val="32"/>
          <w:szCs w:val="32"/>
          <w:highlight w:val="none"/>
        </w:rPr>
        <w:t>服务阶段工作延期：</w:t>
      </w:r>
    </w:p>
    <w:p>
      <w:pPr>
        <w:spacing w:line="540" w:lineRule="exact"/>
        <w:ind w:firstLine="640" w:firstLineChars="200"/>
        <w:jc w:val="both"/>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1</w:t>
      </w:r>
      <w:r>
        <w:rPr>
          <w:rFonts w:ascii="Times New Roman" w:hAnsi="仿宋" w:eastAsia="仿宋" w:cs="Times New Roman"/>
          <w:color w:val="auto"/>
          <w:sz w:val="32"/>
          <w:szCs w:val="32"/>
          <w:highlight w:val="none"/>
        </w:rPr>
        <w:t>）甲乙双方应极力配合，严格按照工作计划开展，但若因不可抗力因素造成计划工作事项未完成的，其工作将顺延，原定</w:t>
      </w:r>
      <w:r>
        <w:rPr>
          <w:rFonts w:hint="eastAsia" w:ascii="Times New Roman" w:hAnsi="仿宋" w:eastAsia="仿宋" w:cs="Times New Roman"/>
          <w:color w:val="auto"/>
          <w:sz w:val="32"/>
          <w:szCs w:val="32"/>
          <w:highlight w:val="none"/>
          <w:lang w:val="en-US" w:eastAsia="zh-CN"/>
        </w:rPr>
        <w:t>服务</w:t>
      </w:r>
      <w:r>
        <w:rPr>
          <w:rFonts w:ascii="Times New Roman" w:hAnsi="仿宋" w:eastAsia="仿宋" w:cs="Times New Roman"/>
          <w:color w:val="auto"/>
          <w:sz w:val="32"/>
          <w:szCs w:val="32"/>
          <w:highlight w:val="none"/>
        </w:rPr>
        <w:t>项目应依次顺延。</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2</w:t>
      </w:r>
      <w:r>
        <w:rPr>
          <w:rFonts w:ascii="Times New Roman" w:hAnsi="仿宋" w:eastAsia="仿宋" w:cs="Times New Roman"/>
          <w:color w:val="auto"/>
          <w:sz w:val="32"/>
          <w:szCs w:val="32"/>
          <w:highlight w:val="none"/>
        </w:rPr>
        <w:t>）若因</w:t>
      </w:r>
      <w:r>
        <w:rPr>
          <w:rFonts w:hint="eastAsia" w:ascii="Times New Roman" w:hAnsi="仿宋" w:eastAsia="仿宋" w:cs="Times New Roman"/>
          <w:color w:val="auto"/>
          <w:sz w:val="32"/>
          <w:szCs w:val="32"/>
          <w:highlight w:val="none"/>
        </w:rPr>
        <w:t>甲方不认可乙方阶段性服务成果或乙方提供的</w:t>
      </w:r>
      <w:r>
        <w:rPr>
          <w:rFonts w:ascii="Times New Roman" w:hAnsi="仿宋" w:eastAsia="仿宋" w:cs="Times New Roman"/>
          <w:color w:val="auto"/>
          <w:sz w:val="32"/>
          <w:szCs w:val="32"/>
          <w:highlight w:val="none"/>
        </w:rPr>
        <w:t>有关数据、</w:t>
      </w:r>
      <w:r>
        <w:rPr>
          <w:rFonts w:hint="eastAsia" w:ascii="Times New Roman" w:hAnsi="仿宋" w:eastAsia="仿宋" w:cs="Times New Roman"/>
          <w:color w:val="auto"/>
          <w:sz w:val="32"/>
          <w:szCs w:val="32"/>
          <w:highlight w:val="none"/>
          <w:lang w:val="en-US" w:eastAsia="zh-CN"/>
        </w:rPr>
        <w:t>资料</w:t>
      </w:r>
      <w:r>
        <w:rPr>
          <w:rFonts w:ascii="Times New Roman" w:hAnsi="仿宋" w:eastAsia="仿宋" w:cs="Times New Roman"/>
          <w:color w:val="auto"/>
          <w:sz w:val="32"/>
          <w:szCs w:val="32"/>
          <w:highlight w:val="none"/>
        </w:rPr>
        <w:t>等文件，或文件交付后发现错误、遗漏，甲方有权提出修改意见，乙方应负责</w:t>
      </w:r>
      <w:r>
        <w:rPr>
          <w:rFonts w:hint="eastAsia" w:ascii="Times New Roman" w:hAnsi="仿宋" w:eastAsia="仿宋" w:cs="Times New Roman"/>
          <w:color w:val="auto"/>
          <w:sz w:val="32"/>
          <w:szCs w:val="32"/>
          <w:highlight w:val="none"/>
        </w:rPr>
        <w:t>整改</w:t>
      </w:r>
      <w:r>
        <w:rPr>
          <w:rFonts w:ascii="Times New Roman" w:hAnsi="仿宋" w:eastAsia="仿宋" w:cs="Times New Roman"/>
          <w:color w:val="auto"/>
          <w:sz w:val="32"/>
          <w:szCs w:val="32"/>
          <w:highlight w:val="none"/>
        </w:rPr>
        <w:t>，因</w:t>
      </w:r>
      <w:r>
        <w:rPr>
          <w:rFonts w:hint="eastAsia" w:ascii="Times New Roman" w:hAnsi="仿宋" w:eastAsia="仿宋" w:cs="Times New Roman"/>
          <w:color w:val="auto"/>
          <w:sz w:val="32"/>
          <w:szCs w:val="32"/>
          <w:highlight w:val="none"/>
        </w:rPr>
        <w:t>整改</w:t>
      </w:r>
      <w:r>
        <w:rPr>
          <w:rFonts w:ascii="Times New Roman" w:hAnsi="仿宋" w:eastAsia="仿宋" w:cs="Times New Roman"/>
          <w:color w:val="auto"/>
          <w:sz w:val="32"/>
          <w:szCs w:val="32"/>
          <w:highlight w:val="none"/>
        </w:rPr>
        <w:t>造成的工期延长的，甲方不再另行支付费用。如果</w:t>
      </w:r>
      <w:r>
        <w:rPr>
          <w:rFonts w:hint="eastAsia" w:ascii="Times New Roman" w:hAnsi="仿宋" w:eastAsia="仿宋" w:cs="Times New Roman"/>
          <w:color w:val="auto"/>
          <w:sz w:val="32"/>
          <w:szCs w:val="32"/>
          <w:highlight w:val="none"/>
        </w:rPr>
        <w:t>整改</w:t>
      </w:r>
      <w:r>
        <w:rPr>
          <w:rFonts w:ascii="Times New Roman" w:hAnsi="仿宋" w:eastAsia="仿宋" w:cs="Times New Roman"/>
          <w:color w:val="auto"/>
          <w:sz w:val="32"/>
          <w:szCs w:val="32"/>
          <w:highlight w:val="none"/>
        </w:rPr>
        <w:t>造成的工期延长过长，造成</w:t>
      </w:r>
      <w:r>
        <w:rPr>
          <w:rFonts w:hint="eastAsia" w:ascii="Times New Roman" w:hAnsi="仿宋" w:eastAsia="仿宋" w:cs="Times New Roman"/>
          <w:color w:val="auto"/>
          <w:sz w:val="32"/>
          <w:szCs w:val="32"/>
          <w:highlight w:val="none"/>
        </w:rPr>
        <w:t>甲</w:t>
      </w:r>
      <w:r>
        <w:rPr>
          <w:rFonts w:ascii="Times New Roman" w:hAnsi="仿宋" w:eastAsia="仿宋" w:cs="Times New Roman"/>
          <w:color w:val="auto"/>
          <w:sz w:val="32"/>
          <w:szCs w:val="32"/>
          <w:highlight w:val="none"/>
        </w:rPr>
        <w:t>方损失的，由甲乙双方友好协商合理性补救措施，</w:t>
      </w:r>
      <w:r>
        <w:rPr>
          <w:rFonts w:hint="eastAsia" w:ascii="Times New Roman" w:hAnsi="仿宋" w:eastAsia="仿宋" w:cs="Times New Roman"/>
          <w:color w:val="auto"/>
          <w:sz w:val="32"/>
          <w:szCs w:val="32"/>
          <w:highlight w:val="none"/>
        </w:rPr>
        <w:t>乙方应承担逾期交付工作成果的违约责任</w:t>
      </w:r>
      <w:r>
        <w:rPr>
          <w:rFonts w:ascii="Times New Roman" w:hAnsi="仿宋" w:eastAsia="仿宋" w:cs="Times New Roman"/>
          <w:color w:val="auto"/>
          <w:sz w:val="32"/>
          <w:szCs w:val="32"/>
          <w:highlight w:val="none"/>
        </w:rPr>
        <w:t>。</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4.</w:t>
      </w:r>
      <w:r>
        <w:rPr>
          <w:rFonts w:hint="eastAsia" w:ascii="Times New Roman" w:hAnsi="Times New Roman" w:eastAsia="仿宋" w:cs="Times New Roman"/>
          <w:color w:val="auto"/>
          <w:sz w:val="32"/>
          <w:szCs w:val="32"/>
          <w:highlight w:val="none"/>
          <w:lang w:val="en-US" w:eastAsia="zh-CN"/>
        </w:rPr>
        <w:t>6</w:t>
      </w:r>
      <w:r>
        <w:rPr>
          <w:rFonts w:ascii="Times New Roman" w:hAnsi="仿宋" w:eastAsia="仿宋" w:cs="Times New Roman"/>
          <w:color w:val="auto"/>
          <w:sz w:val="32"/>
          <w:szCs w:val="32"/>
          <w:highlight w:val="none"/>
        </w:rPr>
        <w:t>授权：甲方应给予乙方适当授权，即乙方认为对与本项目有关的企业资料有知晓的权力，乙方可申请甲方提供有关资料，在甲方授权范围内开展工作和提供设计服务。如甲方认为无法提供部分资料，应与乙方进行沟通，协商解决办法。</w:t>
      </w:r>
    </w:p>
    <w:p>
      <w:pPr>
        <w:pStyle w:val="18"/>
        <w:spacing w:line="540" w:lineRule="exact"/>
        <w:ind w:leftChars="103" w:firstLine="480" w:firstLineChars="150"/>
        <w:rPr>
          <w:rFonts w:ascii="Times New Roman" w:hAnsi="Times New Roman" w:eastAsia="仿宋"/>
          <w:color w:val="auto"/>
          <w:sz w:val="32"/>
          <w:szCs w:val="32"/>
          <w:highlight w:val="none"/>
        </w:rPr>
      </w:pPr>
      <w:r>
        <w:rPr>
          <w:rFonts w:hint="eastAsia" w:ascii="Times New Roman" w:hAnsi="仿宋" w:eastAsia="仿宋"/>
          <w:color w:val="auto"/>
          <w:sz w:val="32"/>
          <w:szCs w:val="32"/>
          <w:highlight w:val="none"/>
        </w:rPr>
        <w:t xml:space="preserve">第五条 </w:t>
      </w:r>
      <w:r>
        <w:rPr>
          <w:rFonts w:ascii="Times New Roman" w:hAnsi="仿宋" w:eastAsia="仿宋"/>
          <w:color w:val="auto"/>
          <w:sz w:val="32"/>
          <w:szCs w:val="32"/>
          <w:highlight w:val="none"/>
        </w:rPr>
        <w:t>权利与义务</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 xml:space="preserve">5.1 </w:t>
      </w:r>
      <w:r>
        <w:rPr>
          <w:rFonts w:ascii="Times New Roman" w:hAnsi="仿宋" w:eastAsia="仿宋" w:cs="Times New Roman"/>
          <w:color w:val="auto"/>
          <w:sz w:val="32"/>
          <w:szCs w:val="32"/>
          <w:highlight w:val="none"/>
        </w:rPr>
        <w:t>甲方的权利与义务</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1</w:t>
      </w:r>
      <w:r>
        <w:rPr>
          <w:rFonts w:ascii="Times New Roman" w:hAnsi="仿宋" w:eastAsia="仿宋" w:cs="Times New Roman"/>
          <w:color w:val="auto"/>
          <w:sz w:val="32"/>
          <w:szCs w:val="32"/>
          <w:highlight w:val="none"/>
        </w:rPr>
        <w:t>）</w:t>
      </w:r>
      <w:r>
        <w:rPr>
          <w:rFonts w:hint="eastAsia" w:ascii="Times New Roman" w:hAnsi="仿宋" w:eastAsia="仿宋" w:cs="Times New Roman"/>
          <w:color w:val="auto"/>
          <w:sz w:val="32"/>
          <w:szCs w:val="32"/>
          <w:highlight w:val="none"/>
        </w:rPr>
        <w:t>甲方负责向乙方提供</w:t>
      </w:r>
      <w:r>
        <w:rPr>
          <w:rFonts w:hint="eastAsia" w:ascii="Times New Roman" w:hAnsi="仿宋" w:eastAsia="仿宋" w:cs="Times New Roman"/>
          <w:color w:val="auto"/>
          <w:sz w:val="32"/>
          <w:szCs w:val="32"/>
          <w:highlight w:val="none"/>
          <w:lang w:val="en-US" w:eastAsia="zh-CN"/>
        </w:rPr>
        <w:t>运行</w:t>
      </w:r>
      <w:r>
        <w:rPr>
          <w:rFonts w:hint="eastAsia" w:ascii="Times New Roman" w:hAnsi="仿宋" w:eastAsia="仿宋" w:cs="Times New Roman"/>
          <w:color w:val="auto"/>
          <w:sz w:val="32"/>
          <w:szCs w:val="32"/>
          <w:highlight w:val="none"/>
        </w:rPr>
        <w:t>软件</w:t>
      </w:r>
      <w:r>
        <w:rPr>
          <w:rFonts w:hint="eastAsia" w:ascii="Times New Roman" w:hAnsi="仿宋" w:eastAsia="仿宋" w:cs="Times New Roman"/>
          <w:color w:val="auto"/>
          <w:sz w:val="32"/>
          <w:szCs w:val="32"/>
          <w:highlight w:val="none"/>
          <w:lang w:val="en-US" w:eastAsia="zh-CN"/>
        </w:rPr>
        <w:t>相关服务</w:t>
      </w:r>
      <w:r>
        <w:rPr>
          <w:rFonts w:hint="eastAsia" w:ascii="Times New Roman" w:hAnsi="仿宋" w:eastAsia="仿宋" w:cs="Times New Roman"/>
          <w:color w:val="auto"/>
          <w:sz w:val="32"/>
          <w:szCs w:val="32"/>
          <w:highlight w:val="none"/>
        </w:rPr>
        <w:t>所需的资料，并保证其是合法合规、准确、真实及完整的。</w:t>
      </w:r>
    </w:p>
    <w:p>
      <w:pPr>
        <w:spacing w:line="540" w:lineRule="exact"/>
        <w:ind w:firstLine="640" w:firstLineChars="200"/>
        <w:jc w:val="both"/>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2</w:t>
      </w:r>
      <w:r>
        <w:rPr>
          <w:rFonts w:ascii="Times New Roman" w:hAnsi="仿宋" w:eastAsia="仿宋" w:cs="Times New Roman"/>
          <w:color w:val="auto"/>
          <w:sz w:val="32"/>
          <w:szCs w:val="32"/>
          <w:highlight w:val="none"/>
        </w:rPr>
        <w:t>）与乙方项目工作小组协作配合，共同商定乙方项目工作小组工作计划</w:t>
      </w:r>
      <w:r>
        <w:rPr>
          <w:rFonts w:hint="eastAsia" w:ascii="Times New Roman" w:hAnsi="仿宋" w:eastAsia="仿宋" w:cs="Times New Roman"/>
          <w:color w:val="auto"/>
          <w:sz w:val="32"/>
          <w:szCs w:val="32"/>
          <w:highlight w:val="none"/>
          <w:lang w:eastAsia="zh-CN"/>
        </w:rPr>
        <w:t>，</w:t>
      </w:r>
      <w:r>
        <w:rPr>
          <w:rFonts w:hint="eastAsia" w:ascii="Times New Roman" w:hAnsi="仿宋" w:eastAsia="仿宋" w:cs="Times New Roman"/>
          <w:color w:val="auto"/>
          <w:sz w:val="32"/>
          <w:szCs w:val="32"/>
          <w:highlight w:val="none"/>
          <w:lang w:val="en-US" w:eastAsia="zh-CN"/>
        </w:rPr>
        <w:t>组织</w:t>
      </w:r>
      <w:r>
        <w:rPr>
          <w:rFonts w:ascii="Times New Roman" w:hAnsi="仿宋" w:eastAsia="仿宋" w:cs="Times New Roman"/>
          <w:color w:val="auto"/>
          <w:sz w:val="32"/>
          <w:szCs w:val="32"/>
          <w:highlight w:val="none"/>
        </w:rPr>
        <w:t>甲方有关人员参与</w:t>
      </w:r>
      <w:r>
        <w:rPr>
          <w:rFonts w:hint="eastAsia" w:ascii="Times New Roman" w:hAnsi="仿宋" w:eastAsia="仿宋" w:cs="Times New Roman"/>
          <w:color w:val="auto"/>
          <w:sz w:val="32"/>
          <w:szCs w:val="32"/>
          <w:highlight w:val="none"/>
          <w:lang w:val="en-US" w:eastAsia="zh-CN"/>
        </w:rPr>
        <w:t>操作培训、课程设计</w:t>
      </w:r>
      <w:r>
        <w:rPr>
          <w:rFonts w:ascii="Times New Roman" w:hAnsi="仿宋" w:eastAsia="仿宋" w:cs="Times New Roman"/>
          <w:color w:val="auto"/>
          <w:sz w:val="32"/>
          <w:szCs w:val="32"/>
          <w:highlight w:val="none"/>
        </w:rPr>
        <w:t>、</w:t>
      </w:r>
      <w:r>
        <w:rPr>
          <w:rFonts w:hint="eastAsia" w:ascii="Times New Roman" w:hAnsi="仿宋" w:eastAsia="仿宋" w:cs="Times New Roman"/>
          <w:color w:val="auto"/>
          <w:sz w:val="32"/>
          <w:szCs w:val="32"/>
          <w:highlight w:val="none"/>
          <w:lang w:val="en-US" w:eastAsia="zh-CN"/>
        </w:rPr>
        <w:t>收集相关数据</w:t>
      </w:r>
      <w:r>
        <w:rPr>
          <w:rFonts w:ascii="Times New Roman" w:hAnsi="仿宋" w:eastAsia="仿宋" w:cs="Times New Roman"/>
          <w:color w:val="auto"/>
          <w:sz w:val="32"/>
          <w:szCs w:val="32"/>
          <w:highlight w:val="none"/>
        </w:rPr>
        <w:t>等。</w:t>
      </w:r>
    </w:p>
    <w:p>
      <w:pPr>
        <w:spacing w:line="540" w:lineRule="exact"/>
        <w:ind w:firstLine="640" w:firstLineChars="200"/>
        <w:jc w:val="both"/>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3</w:t>
      </w:r>
      <w:r>
        <w:rPr>
          <w:rFonts w:ascii="Times New Roman" w:hAnsi="仿宋" w:eastAsia="仿宋" w:cs="Times New Roman"/>
          <w:color w:val="auto"/>
          <w:sz w:val="32"/>
          <w:szCs w:val="32"/>
          <w:highlight w:val="none"/>
        </w:rPr>
        <w:t>）要求乙方按时、按质、按量</w:t>
      </w:r>
      <w:r>
        <w:rPr>
          <w:rFonts w:hint="eastAsia" w:ascii="Times New Roman" w:hAnsi="仿宋" w:eastAsia="仿宋" w:cs="Times New Roman"/>
          <w:color w:val="auto"/>
          <w:sz w:val="32"/>
          <w:szCs w:val="32"/>
          <w:highlight w:val="none"/>
          <w:lang w:val="en-US" w:eastAsia="zh-CN"/>
        </w:rPr>
        <w:t>提供项目服务</w:t>
      </w:r>
      <w:r>
        <w:rPr>
          <w:rFonts w:ascii="Times New Roman" w:hAnsi="仿宋" w:eastAsia="仿宋" w:cs="Times New Roman"/>
          <w:color w:val="auto"/>
          <w:sz w:val="32"/>
          <w:szCs w:val="32"/>
          <w:highlight w:val="none"/>
        </w:rPr>
        <w:t>。</w:t>
      </w:r>
    </w:p>
    <w:p>
      <w:pPr>
        <w:spacing w:line="540" w:lineRule="exact"/>
        <w:ind w:firstLine="640" w:firstLineChars="200"/>
        <w:jc w:val="both"/>
        <w:rPr>
          <w:rFonts w:hint="default" w:ascii="Times New Roman" w:hAnsi="Times New Roman" w:eastAsia="仿宋" w:cs="Times New Roman"/>
          <w:color w:val="auto"/>
          <w:sz w:val="32"/>
          <w:szCs w:val="32"/>
          <w:highlight w:val="none"/>
          <w:lang w:val="en-US" w:eastAsia="zh-CN"/>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4</w:t>
      </w:r>
      <w:r>
        <w:rPr>
          <w:rFonts w:ascii="Times New Roman" w:hAnsi="仿宋" w:eastAsia="仿宋" w:cs="Times New Roman"/>
          <w:color w:val="auto"/>
          <w:sz w:val="32"/>
          <w:szCs w:val="32"/>
          <w:highlight w:val="none"/>
        </w:rPr>
        <w:t>）根据项目进度，验收本项目</w:t>
      </w:r>
      <w:r>
        <w:rPr>
          <w:rFonts w:hint="eastAsia" w:ascii="Times New Roman" w:hAnsi="仿宋" w:eastAsia="仿宋" w:cs="Times New Roman"/>
          <w:color w:val="auto"/>
          <w:sz w:val="32"/>
          <w:szCs w:val="32"/>
          <w:highlight w:val="none"/>
          <w:lang w:val="en-US" w:eastAsia="zh-CN"/>
        </w:rPr>
        <w:t>服务内容</w:t>
      </w:r>
      <w:r>
        <w:rPr>
          <w:rFonts w:ascii="Times New Roman" w:hAnsi="仿宋" w:eastAsia="仿宋" w:cs="Times New Roman"/>
          <w:color w:val="auto"/>
          <w:sz w:val="32"/>
          <w:szCs w:val="32"/>
          <w:highlight w:val="none"/>
        </w:rPr>
        <w:t>，并按事先商定的时间对方案提出修改意见。</w:t>
      </w:r>
    </w:p>
    <w:p>
      <w:pPr>
        <w:spacing w:line="540" w:lineRule="exact"/>
        <w:ind w:firstLine="640" w:firstLineChars="200"/>
        <w:jc w:val="both"/>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5</w:t>
      </w:r>
      <w:r>
        <w:rPr>
          <w:rFonts w:ascii="Times New Roman" w:hAnsi="仿宋" w:eastAsia="仿宋" w:cs="Times New Roman"/>
          <w:color w:val="auto"/>
          <w:sz w:val="32"/>
          <w:szCs w:val="32"/>
          <w:highlight w:val="none"/>
        </w:rPr>
        <w:t>）按合同约定条件支付每笔服务费用。</w:t>
      </w:r>
    </w:p>
    <w:p>
      <w:pPr>
        <w:spacing w:line="540" w:lineRule="exact"/>
        <w:ind w:firstLine="640" w:firstLineChars="200"/>
        <w:jc w:val="both"/>
        <w:rPr>
          <w:rFonts w:ascii="Times New Roman" w:hAnsi="仿宋"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6</w:t>
      </w:r>
      <w:r>
        <w:rPr>
          <w:rFonts w:ascii="Times New Roman" w:hAnsi="仿宋" w:eastAsia="仿宋" w:cs="Times New Roman"/>
          <w:color w:val="auto"/>
          <w:sz w:val="32"/>
          <w:szCs w:val="32"/>
          <w:highlight w:val="none"/>
        </w:rPr>
        <w:t>）有权要求乙方遵守职业道德准则，严格保守甲方的商业机密（商业机密包含但不仅限于：技术信息：包括技术方案、规划设计方案、服务内容、运作流程、技术指标、软件系统、数据库、图纸、样本、模型、使用手册、涉及技术秘密的业务函电等；经营信息：包括客户名称、客户地址及联系方式、需求信息、营销计划、招标资料、定价政策、招标渠道、招投标中的标底及标书内容、项目组人员构成、费用预算、利润情况及不公开的财务资料等），且保密责任不受合同履行时间和双方合作是否顺利的限制。如因乙方泄露甲方机密，给甲方造成损失的，由乙方承担相应</w:t>
      </w:r>
      <w:r>
        <w:rPr>
          <w:rFonts w:hint="eastAsia" w:ascii="Times New Roman" w:hAnsi="仿宋" w:eastAsia="仿宋" w:cs="Times New Roman"/>
          <w:color w:val="auto"/>
          <w:sz w:val="32"/>
          <w:szCs w:val="32"/>
          <w:highlight w:val="none"/>
        </w:rPr>
        <w:t>法律后果</w:t>
      </w:r>
      <w:r>
        <w:rPr>
          <w:rFonts w:ascii="Times New Roman" w:hAnsi="仿宋" w:eastAsia="仿宋" w:cs="Times New Roman"/>
          <w:color w:val="auto"/>
          <w:sz w:val="32"/>
          <w:szCs w:val="32"/>
          <w:highlight w:val="none"/>
        </w:rPr>
        <w:t>。</w:t>
      </w:r>
    </w:p>
    <w:p>
      <w:pPr>
        <w:pStyle w:val="2"/>
        <w:spacing w:line="540" w:lineRule="exact"/>
        <w:ind w:firstLine="680" w:firstLineChars="200"/>
        <w:rPr>
          <w:rFonts w:hint="default" w:eastAsia="仿宋"/>
          <w:lang w:val="en-US" w:eastAsia="zh-CN"/>
        </w:rPr>
      </w:pPr>
      <w:r>
        <w:rPr>
          <w:rFonts w:hint="eastAsia" w:hAnsi="仿宋" w:eastAsia="仿宋" w:cs="Times New Roman"/>
          <w:color w:val="auto"/>
          <w:sz w:val="32"/>
          <w:szCs w:val="32"/>
          <w:highlight w:val="none"/>
          <w:lang w:eastAsia="zh-CN"/>
        </w:rPr>
        <w:t>（</w:t>
      </w:r>
      <w:r>
        <w:rPr>
          <w:rFonts w:hint="eastAsia" w:hAnsi="仿宋" w:eastAsia="仿宋" w:cs="Times New Roman"/>
          <w:color w:val="auto"/>
          <w:sz w:val="32"/>
          <w:szCs w:val="32"/>
          <w:highlight w:val="none"/>
          <w:lang w:val="en-US" w:eastAsia="zh-CN"/>
        </w:rPr>
        <w:t>7</w:t>
      </w:r>
      <w:r>
        <w:rPr>
          <w:rFonts w:hint="eastAsia" w:hAnsi="仿宋" w:eastAsia="仿宋" w:cs="Times New Roman"/>
          <w:color w:val="auto"/>
          <w:sz w:val="32"/>
          <w:szCs w:val="32"/>
          <w:highlight w:val="none"/>
          <w:lang w:eastAsia="zh-CN"/>
        </w:rPr>
        <w:t>）</w:t>
      </w:r>
      <w:r>
        <w:rPr>
          <w:rFonts w:hint="eastAsia" w:hAnsi="仿宋" w:eastAsia="仿宋" w:cs="Times New Roman"/>
          <w:color w:val="auto"/>
          <w:sz w:val="32"/>
          <w:szCs w:val="32"/>
          <w:highlight w:val="none"/>
          <w:lang w:val="en-US" w:eastAsia="zh-CN"/>
        </w:rPr>
        <w:t>甲方有权要求乙方在本合同届满后30个工作日内删除甲方在使用该项目服务中所有留存的信息资料，乙方不得储存备份。</w:t>
      </w:r>
    </w:p>
    <w:p>
      <w:pPr>
        <w:snapToGrid w:val="0"/>
        <w:spacing w:line="540" w:lineRule="exact"/>
        <w:ind w:firstLine="556" w:firstLineChars="174"/>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hint="eastAsia" w:eastAsia="仿宋" w:cs="Times New Roman"/>
          <w:color w:val="auto"/>
          <w:sz w:val="32"/>
          <w:szCs w:val="32"/>
          <w:highlight w:val="none"/>
          <w:lang w:val="en-US" w:eastAsia="zh-CN"/>
        </w:rPr>
        <w:t>8</w:t>
      </w:r>
      <w:r>
        <w:rPr>
          <w:rFonts w:ascii="Times New Roman" w:hAnsi="仿宋" w:eastAsia="仿宋" w:cs="Times New Roman"/>
          <w:color w:val="auto"/>
          <w:sz w:val="32"/>
          <w:szCs w:val="32"/>
          <w:highlight w:val="none"/>
        </w:rPr>
        <w:t>）遇特殊情况，需要较大调整项目范围、进度及相关要求时，应及时与乙方协商一致。</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 xml:space="preserve">5.2 </w:t>
      </w:r>
      <w:r>
        <w:rPr>
          <w:rFonts w:ascii="Times New Roman" w:hAnsi="仿宋" w:eastAsia="仿宋" w:cs="Times New Roman"/>
          <w:color w:val="auto"/>
          <w:sz w:val="32"/>
          <w:szCs w:val="32"/>
          <w:highlight w:val="none"/>
        </w:rPr>
        <w:t>乙方的权利与义务</w:t>
      </w:r>
    </w:p>
    <w:p>
      <w:pPr>
        <w:spacing w:line="540" w:lineRule="exact"/>
        <w:ind w:firstLine="640" w:firstLineChars="200"/>
        <w:jc w:val="both"/>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1</w:t>
      </w:r>
      <w:r>
        <w:rPr>
          <w:rFonts w:ascii="Times New Roman" w:hAnsi="仿宋" w:eastAsia="仿宋" w:cs="Times New Roman"/>
          <w:color w:val="auto"/>
          <w:sz w:val="32"/>
          <w:szCs w:val="32"/>
          <w:highlight w:val="none"/>
        </w:rPr>
        <w:t>）执行本合同约定，按期完成交付</w:t>
      </w:r>
      <w:r>
        <w:rPr>
          <w:rFonts w:hint="eastAsia" w:ascii="Times New Roman" w:hAnsi="仿宋" w:eastAsia="仿宋" w:cs="Times New Roman"/>
          <w:color w:val="auto"/>
          <w:sz w:val="32"/>
          <w:szCs w:val="32"/>
          <w:highlight w:val="none"/>
          <w:lang w:val="en-US" w:eastAsia="zh-CN"/>
        </w:rPr>
        <w:t>服务</w:t>
      </w:r>
      <w:r>
        <w:rPr>
          <w:rFonts w:ascii="Times New Roman" w:hAnsi="仿宋" w:eastAsia="仿宋" w:cs="Times New Roman"/>
          <w:color w:val="auto"/>
          <w:sz w:val="32"/>
          <w:szCs w:val="32"/>
          <w:highlight w:val="none"/>
        </w:rPr>
        <w:t>成果，并于合同</w:t>
      </w:r>
      <w:r>
        <w:rPr>
          <w:rFonts w:hint="eastAsia" w:ascii="Times New Roman" w:hAnsi="仿宋" w:eastAsia="仿宋" w:cs="Times New Roman"/>
          <w:color w:val="auto"/>
          <w:sz w:val="32"/>
          <w:szCs w:val="32"/>
          <w:highlight w:val="none"/>
        </w:rPr>
        <w:t>约定的各阶段成果交付时间</w:t>
      </w:r>
      <w:r>
        <w:rPr>
          <w:rFonts w:ascii="Times New Roman" w:hAnsi="仿宋" w:eastAsia="仿宋" w:cs="Times New Roman"/>
          <w:color w:val="auto"/>
          <w:sz w:val="32"/>
          <w:szCs w:val="32"/>
          <w:highlight w:val="none"/>
        </w:rPr>
        <w:t>向甲方交付</w:t>
      </w:r>
      <w:r>
        <w:rPr>
          <w:rFonts w:hint="eastAsia" w:ascii="Times New Roman" w:hAnsi="仿宋" w:eastAsia="仿宋" w:cs="Times New Roman"/>
          <w:color w:val="auto"/>
          <w:sz w:val="32"/>
          <w:szCs w:val="32"/>
          <w:highlight w:val="none"/>
        </w:rPr>
        <w:t>相应的工作成果并通过甲方对各阶段工作成果的验收，</w:t>
      </w:r>
      <w:r>
        <w:rPr>
          <w:rFonts w:ascii="Times New Roman" w:hAnsi="仿宋" w:eastAsia="仿宋" w:cs="Times New Roman"/>
          <w:color w:val="auto"/>
          <w:sz w:val="32"/>
          <w:szCs w:val="32"/>
          <w:highlight w:val="none"/>
        </w:rPr>
        <w:t>并辅助甲方落地实施。乙方在项目期间提供相应的培训，以推进甲方有效地实施</w:t>
      </w:r>
      <w:r>
        <w:rPr>
          <w:rFonts w:hint="eastAsia" w:ascii="Times New Roman" w:hAnsi="仿宋" w:eastAsia="仿宋" w:cs="Times New Roman"/>
          <w:color w:val="auto"/>
          <w:sz w:val="32"/>
          <w:szCs w:val="32"/>
          <w:highlight w:val="none"/>
        </w:rPr>
        <w:t>，具体的培训</w:t>
      </w:r>
      <w:r>
        <w:rPr>
          <w:rFonts w:hint="eastAsia" w:ascii="Times New Roman" w:hAnsi="仿宋" w:eastAsia="仿宋" w:cs="Times New Roman"/>
          <w:color w:val="auto"/>
          <w:sz w:val="32"/>
          <w:szCs w:val="32"/>
          <w:highlight w:val="none"/>
          <w:lang w:val="en-US" w:eastAsia="zh-CN"/>
        </w:rPr>
        <w:t>安排</w:t>
      </w:r>
      <w:r>
        <w:rPr>
          <w:rFonts w:hint="eastAsia" w:ascii="Times New Roman" w:hAnsi="仿宋" w:eastAsia="仿宋" w:cs="Times New Roman"/>
          <w:color w:val="auto"/>
          <w:sz w:val="32"/>
          <w:szCs w:val="32"/>
          <w:highlight w:val="none"/>
        </w:rPr>
        <w:t>根据项目各阶段实施需要由双方协商确定</w:t>
      </w:r>
      <w:r>
        <w:rPr>
          <w:rFonts w:ascii="Times New Roman" w:hAnsi="仿宋" w:eastAsia="仿宋" w:cs="Times New Roman"/>
          <w:color w:val="auto"/>
          <w:sz w:val="32"/>
          <w:szCs w:val="32"/>
          <w:highlight w:val="none"/>
        </w:rPr>
        <w:t>。</w:t>
      </w:r>
    </w:p>
    <w:p>
      <w:pPr>
        <w:spacing w:line="540" w:lineRule="exact"/>
        <w:ind w:firstLine="640" w:firstLineChars="200"/>
        <w:jc w:val="both"/>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2</w:t>
      </w:r>
      <w:r>
        <w:rPr>
          <w:rFonts w:ascii="Times New Roman" w:hAnsi="仿宋" w:eastAsia="仿宋" w:cs="Times New Roman"/>
          <w:color w:val="auto"/>
          <w:sz w:val="32"/>
          <w:szCs w:val="32"/>
          <w:highlight w:val="none"/>
        </w:rPr>
        <w:t>）根据双方约定的材料内容，对甲方提供的材料提出意见，可酌情要求甲方补充提供必要的材料。</w:t>
      </w:r>
    </w:p>
    <w:p>
      <w:pPr>
        <w:spacing w:line="540" w:lineRule="exact"/>
        <w:ind w:firstLine="640" w:firstLineChars="200"/>
        <w:jc w:val="both"/>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3</w:t>
      </w:r>
      <w:r>
        <w:rPr>
          <w:rFonts w:ascii="Times New Roman" w:hAnsi="仿宋" w:eastAsia="仿宋" w:cs="Times New Roman"/>
          <w:color w:val="auto"/>
          <w:sz w:val="32"/>
          <w:szCs w:val="32"/>
          <w:highlight w:val="none"/>
        </w:rPr>
        <w:t>）乙方提供的阶段性</w:t>
      </w:r>
      <w:r>
        <w:rPr>
          <w:rFonts w:hint="eastAsia" w:ascii="Times New Roman" w:hAnsi="仿宋" w:eastAsia="仿宋" w:cs="Times New Roman"/>
          <w:color w:val="auto"/>
          <w:sz w:val="32"/>
          <w:szCs w:val="32"/>
          <w:highlight w:val="none"/>
          <w:lang w:val="en-US" w:eastAsia="zh-CN"/>
        </w:rPr>
        <w:t>服务</w:t>
      </w:r>
      <w:r>
        <w:rPr>
          <w:rFonts w:ascii="Times New Roman" w:hAnsi="仿宋" w:eastAsia="仿宋" w:cs="Times New Roman"/>
          <w:color w:val="auto"/>
          <w:sz w:val="32"/>
          <w:szCs w:val="32"/>
          <w:highlight w:val="none"/>
        </w:rPr>
        <w:t>成果经甲方认可后，应及时组织</w:t>
      </w:r>
      <w:r>
        <w:rPr>
          <w:rFonts w:hint="eastAsia" w:ascii="Times New Roman" w:hAnsi="仿宋" w:eastAsia="仿宋" w:cs="Times New Roman"/>
          <w:color w:val="auto"/>
          <w:sz w:val="32"/>
          <w:szCs w:val="32"/>
          <w:highlight w:val="none"/>
          <w:lang w:val="en-US" w:eastAsia="zh-CN"/>
        </w:rPr>
        <w:t>培训</w:t>
      </w:r>
      <w:r>
        <w:rPr>
          <w:rFonts w:ascii="Times New Roman" w:hAnsi="仿宋" w:eastAsia="仿宋" w:cs="Times New Roman"/>
          <w:color w:val="auto"/>
          <w:sz w:val="32"/>
          <w:szCs w:val="32"/>
          <w:highlight w:val="none"/>
        </w:rPr>
        <w:t>。</w:t>
      </w:r>
    </w:p>
    <w:p>
      <w:pPr>
        <w:spacing w:line="540" w:lineRule="exact"/>
        <w:ind w:firstLine="640" w:firstLineChars="200"/>
        <w:jc w:val="both"/>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4</w:t>
      </w:r>
      <w:r>
        <w:rPr>
          <w:rFonts w:ascii="Times New Roman" w:hAnsi="仿宋" w:eastAsia="仿宋" w:cs="Times New Roman"/>
          <w:color w:val="auto"/>
          <w:sz w:val="32"/>
          <w:szCs w:val="32"/>
          <w:highlight w:val="none"/>
        </w:rPr>
        <w:t>）按合同约定条件向甲方收取服务费。</w:t>
      </w:r>
    </w:p>
    <w:p>
      <w:pPr>
        <w:spacing w:line="540" w:lineRule="exact"/>
        <w:ind w:firstLine="640" w:firstLineChars="200"/>
        <w:jc w:val="both"/>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hint="eastAsia" w:ascii="Times New Roman" w:hAnsi="仿宋" w:eastAsia="仿宋" w:cs="Times New Roman"/>
          <w:color w:val="auto"/>
          <w:sz w:val="32"/>
          <w:szCs w:val="32"/>
          <w:highlight w:val="none"/>
          <w:lang w:val="en-US" w:eastAsia="zh-CN"/>
        </w:rPr>
        <w:t>5</w:t>
      </w:r>
      <w:r>
        <w:rPr>
          <w:rFonts w:ascii="Times New Roman" w:hAnsi="仿宋" w:eastAsia="仿宋" w:cs="Times New Roman"/>
          <w:color w:val="auto"/>
          <w:sz w:val="32"/>
          <w:szCs w:val="32"/>
          <w:highlight w:val="none"/>
        </w:rPr>
        <w:t>）遵守职业道德准则，严格保守甲方的商业机密，且保密责任不受合同履行时间和双方合作是否顺利的限制。未经甲方事先书面同意，乙方不得在其促销或广告宣传中使用或提及甲方的名称。</w:t>
      </w:r>
    </w:p>
    <w:p>
      <w:pPr>
        <w:spacing w:line="540" w:lineRule="exact"/>
        <w:ind w:firstLine="640" w:firstLineChars="200"/>
        <w:jc w:val="both"/>
        <w:rPr>
          <w:rFonts w:ascii="Times New Roman" w:hAnsi="仿宋"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6</w:t>
      </w:r>
      <w:r>
        <w:rPr>
          <w:rFonts w:ascii="Times New Roman" w:hAnsi="仿宋" w:eastAsia="仿宋" w:cs="Times New Roman"/>
          <w:color w:val="auto"/>
          <w:sz w:val="32"/>
          <w:szCs w:val="32"/>
          <w:highlight w:val="none"/>
        </w:rPr>
        <w:t>）在甲方授权范围内开展工作和提供设计服务。乙方不得利用甲方在项目中提供的信息从事有损于甲方合法权益的活动或与甲方进行业务上的竞争，不得利用甲方在项目中提供的信息协助第三人与甲方进行业务上的竞争。乙方不得为了自己的利益损害甲方的利益。</w:t>
      </w:r>
    </w:p>
    <w:p>
      <w:pPr>
        <w:pStyle w:val="2"/>
        <w:ind w:firstLine="680" w:firstLineChars="200"/>
        <w:rPr>
          <w:rFonts w:hint="default" w:eastAsia="仿宋"/>
          <w:lang w:val="en-US" w:eastAsia="zh-CN"/>
        </w:rPr>
      </w:pPr>
      <w:r>
        <w:rPr>
          <w:rFonts w:hint="eastAsia" w:hAnsi="仿宋" w:eastAsia="仿宋" w:cs="Times New Roman"/>
          <w:color w:val="auto"/>
          <w:sz w:val="32"/>
          <w:szCs w:val="32"/>
          <w:highlight w:val="none"/>
          <w:lang w:eastAsia="zh-CN"/>
        </w:rPr>
        <w:t>（</w:t>
      </w:r>
      <w:r>
        <w:rPr>
          <w:rFonts w:hint="eastAsia" w:hAnsi="仿宋" w:eastAsia="仿宋" w:cs="Times New Roman"/>
          <w:color w:val="auto"/>
          <w:sz w:val="32"/>
          <w:szCs w:val="32"/>
          <w:highlight w:val="none"/>
          <w:lang w:val="en-US" w:eastAsia="zh-CN"/>
        </w:rPr>
        <w:t>7</w:t>
      </w:r>
      <w:r>
        <w:rPr>
          <w:rFonts w:hint="eastAsia" w:hAnsi="仿宋" w:eastAsia="仿宋" w:cs="Times New Roman"/>
          <w:color w:val="auto"/>
          <w:sz w:val="32"/>
          <w:szCs w:val="32"/>
          <w:highlight w:val="none"/>
          <w:lang w:eastAsia="zh-CN"/>
        </w:rPr>
        <w:t>）</w:t>
      </w:r>
      <w:r>
        <w:rPr>
          <w:rFonts w:hint="eastAsia" w:hAnsi="仿宋" w:eastAsia="仿宋" w:cs="Times New Roman"/>
          <w:color w:val="auto"/>
          <w:sz w:val="32"/>
          <w:szCs w:val="32"/>
          <w:highlight w:val="none"/>
          <w:lang w:val="en-US" w:eastAsia="zh-CN"/>
        </w:rPr>
        <w:t>乙方有义务在本合同届满后30个工作日内将本服务项下系统有关数据备份拷贝送至甲方，删除甲方在使用该项目服务中所有留存的信息资料，不得储存备份。</w:t>
      </w:r>
    </w:p>
    <w:p>
      <w:pPr>
        <w:snapToGrid w:val="0"/>
        <w:spacing w:line="540" w:lineRule="exact"/>
        <w:ind w:firstLine="640" w:firstLineChars="200"/>
        <w:jc w:val="both"/>
        <w:rPr>
          <w:rFonts w:hint="default" w:ascii="Times New Roman" w:hAnsi="仿宋" w:eastAsia="仿宋" w:cs="Times New Roman"/>
          <w:color w:val="auto"/>
          <w:sz w:val="32"/>
          <w:szCs w:val="32"/>
          <w:highlight w:val="none"/>
          <w:lang w:val="en-US" w:eastAsia="zh-CN"/>
        </w:rPr>
      </w:pPr>
      <w:r>
        <w:rPr>
          <w:rFonts w:hint="eastAsia" w:hAnsi="仿宋" w:eastAsia="仿宋" w:cs="Times New Roman"/>
          <w:color w:val="auto"/>
          <w:sz w:val="32"/>
          <w:szCs w:val="32"/>
          <w:highlight w:val="none"/>
          <w:lang w:eastAsia="zh-CN"/>
        </w:rPr>
        <w:t>（</w:t>
      </w:r>
      <w:r>
        <w:rPr>
          <w:rFonts w:hint="eastAsia" w:hAnsi="仿宋" w:eastAsia="仿宋" w:cs="Times New Roman"/>
          <w:color w:val="auto"/>
          <w:sz w:val="32"/>
          <w:szCs w:val="32"/>
          <w:highlight w:val="none"/>
          <w:lang w:val="en-US" w:eastAsia="zh-CN"/>
        </w:rPr>
        <w:t>8</w:t>
      </w:r>
      <w:r>
        <w:rPr>
          <w:rFonts w:hint="eastAsia" w:hAnsi="仿宋" w:eastAsia="仿宋" w:cs="Times New Roman"/>
          <w:color w:val="auto"/>
          <w:sz w:val="32"/>
          <w:szCs w:val="32"/>
          <w:highlight w:val="none"/>
          <w:lang w:eastAsia="zh-CN"/>
        </w:rPr>
        <w:t>）</w:t>
      </w:r>
      <w:r>
        <w:rPr>
          <w:rFonts w:hint="eastAsia" w:hAnsi="仿宋" w:eastAsia="仿宋" w:cs="Times New Roman"/>
          <w:color w:val="auto"/>
          <w:sz w:val="32"/>
          <w:szCs w:val="32"/>
          <w:highlight w:val="none"/>
          <w:lang w:val="en-US" w:eastAsia="zh-CN"/>
        </w:rPr>
        <w:t>乙方需确保甲方购买的所有用户账号在合同期间正常使用该项目服务，不得以任何形式妨碍、阻挠甲方及甲方用户正常使用该学习平台。</w:t>
      </w:r>
    </w:p>
    <w:p>
      <w:pPr>
        <w:snapToGrid w:val="0"/>
        <w:spacing w:line="540" w:lineRule="exact"/>
        <w:ind w:firstLine="640" w:firstLineChars="200"/>
        <w:jc w:val="both"/>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hint="eastAsia" w:eastAsia="仿宋" w:cs="Times New Roman"/>
          <w:color w:val="auto"/>
          <w:sz w:val="32"/>
          <w:szCs w:val="32"/>
          <w:highlight w:val="none"/>
          <w:lang w:val="en-US" w:eastAsia="zh-CN"/>
        </w:rPr>
        <w:t>9</w:t>
      </w:r>
      <w:r>
        <w:rPr>
          <w:rFonts w:ascii="Times New Roman" w:hAnsi="仿宋" w:eastAsia="仿宋" w:cs="Times New Roman"/>
          <w:color w:val="auto"/>
          <w:sz w:val="32"/>
          <w:szCs w:val="32"/>
          <w:highlight w:val="none"/>
        </w:rPr>
        <w:t>）乙方保证其实施本项目过程中及劳动成果未侵犯第三人之著作权、商标权、专利权、技术秘密等知识产权，不会侵犯任何第三人的商业秘密或对任何第三人构成不正当竞争，如因此与第三人形成争议、诉讼或仲裁案件，由乙方承担全部责任，并负责赔偿甲方由此而遭受的全部索赔、处罚及其他经济和信誉损失。</w:t>
      </w:r>
    </w:p>
    <w:p>
      <w:pPr>
        <w:pStyle w:val="18"/>
        <w:spacing w:line="540" w:lineRule="exact"/>
        <w:ind w:leftChars="103" w:firstLine="480" w:firstLineChars="150"/>
        <w:rPr>
          <w:rFonts w:ascii="Times New Roman" w:hAnsi="Times New Roman" w:eastAsia="仿宋"/>
          <w:color w:val="auto"/>
          <w:sz w:val="32"/>
          <w:szCs w:val="32"/>
          <w:highlight w:val="none"/>
        </w:rPr>
      </w:pPr>
      <w:r>
        <w:rPr>
          <w:rFonts w:hint="eastAsia" w:ascii="Times New Roman" w:hAnsi="仿宋" w:eastAsia="仿宋"/>
          <w:color w:val="auto"/>
          <w:sz w:val="32"/>
          <w:szCs w:val="32"/>
          <w:highlight w:val="none"/>
        </w:rPr>
        <w:t>第</w:t>
      </w:r>
      <w:r>
        <w:rPr>
          <w:rFonts w:hint="eastAsia" w:ascii="Times New Roman" w:hAnsi="仿宋" w:eastAsia="仿宋"/>
          <w:color w:val="auto"/>
          <w:sz w:val="32"/>
          <w:szCs w:val="32"/>
          <w:highlight w:val="none"/>
          <w:lang w:val="en-US" w:eastAsia="zh-CN"/>
        </w:rPr>
        <w:t>六</w:t>
      </w:r>
      <w:r>
        <w:rPr>
          <w:rFonts w:hint="eastAsia" w:ascii="Times New Roman" w:hAnsi="仿宋" w:eastAsia="仿宋"/>
          <w:color w:val="auto"/>
          <w:sz w:val="32"/>
          <w:szCs w:val="32"/>
          <w:highlight w:val="none"/>
        </w:rPr>
        <w:t xml:space="preserve">条 </w:t>
      </w:r>
      <w:r>
        <w:rPr>
          <w:rFonts w:ascii="Times New Roman" w:hAnsi="仿宋" w:eastAsia="仿宋"/>
          <w:color w:val="auto"/>
          <w:sz w:val="32"/>
          <w:szCs w:val="32"/>
          <w:highlight w:val="none"/>
        </w:rPr>
        <w:t>保密条款及禁止条款</w:t>
      </w:r>
    </w:p>
    <w:p>
      <w:pPr>
        <w:spacing w:line="540" w:lineRule="exact"/>
        <w:ind w:firstLine="640" w:firstLineChars="200"/>
        <w:jc w:val="both"/>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乙方对在服务期限内所获知的有关甲方经营、管理及技术的、非公开的信息和资料负有保密义务（包含但不仅限于：技术信息：包括技术方案、规划设计方案、服务内容、运作流程、技术指标、软件系统、数据库、图纸、样本、模型、使用手册、涉及技术秘密的业务函电等；经营信息：包括客户名称、客户地址及联系方式、需求信息、营销计划、招标资料、定价政策、招标渠道、招投标中的标底及标书内容、项目组人员构成、费用预算、利润情况及不公开的财务资料等）。除法律规定以外，非经甲方书面同意，乙方不得向任何第三方透露，否则</w:t>
      </w:r>
      <w:r>
        <w:rPr>
          <w:rFonts w:hint="eastAsia" w:ascii="Times New Roman" w:hAnsi="仿宋" w:eastAsia="仿宋" w:cs="Times New Roman"/>
          <w:color w:val="auto"/>
          <w:sz w:val="32"/>
          <w:szCs w:val="32"/>
          <w:highlight w:val="none"/>
        </w:rPr>
        <w:t>乙方应按本合同总价款的30%向甲方支付</w:t>
      </w:r>
      <w:r>
        <w:rPr>
          <w:rFonts w:ascii="Times New Roman" w:hAnsi="仿宋" w:eastAsia="仿宋" w:cs="Times New Roman"/>
          <w:color w:val="auto"/>
          <w:sz w:val="32"/>
          <w:szCs w:val="32"/>
          <w:highlight w:val="none"/>
        </w:rPr>
        <w:t>违约</w:t>
      </w:r>
      <w:r>
        <w:rPr>
          <w:rFonts w:hint="eastAsia" w:ascii="Times New Roman" w:hAnsi="仿宋" w:eastAsia="仿宋" w:cs="Times New Roman"/>
          <w:color w:val="auto"/>
          <w:sz w:val="32"/>
          <w:szCs w:val="32"/>
          <w:highlight w:val="none"/>
        </w:rPr>
        <w:t>金，违约金如不足以弥补甲方损失的，乙方仍应继续</w:t>
      </w:r>
      <w:r>
        <w:rPr>
          <w:rFonts w:ascii="Times New Roman" w:hAnsi="仿宋" w:eastAsia="仿宋" w:cs="Times New Roman"/>
          <w:color w:val="auto"/>
          <w:sz w:val="32"/>
          <w:szCs w:val="32"/>
          <w:highlight w:val="none"/>
        </w:rPr>
        <w:t>赔偿甲方损失。</w:t>
      </w:r>
    </w:p>
    <w:p>
      <w:pPr>
        <w:pStyle w:val="18"/>
        <w:spacing w:line="540" w:lineRule="exact"/>
        <w:ind w:leftChars="103" w:firstLine="480" w:firstLineChars="150"/>
        <w:rPr>
          <w:rFonts w:ascii="Times New Roman" w:hAnsi="Times New Roman" w:eastAsia="仿宋"/>
          <w:color w:val="auto"/>
          <w:sz w:val="32"/>
          <w:szCs w:val="32"/>
          <w:highlight w:val="none"/>
        </w:rPr>
      </w:pPr>
      <w:r>
        <w:rPr>
          <w:rFonts w:hint="eastAsia" w:ascii="Times New Roman" w:hAnsi="仿宋" w:eastAsia="仿宋"/>
          <w:color w:val="auto"/>
          <w:sz w:val="32"/>
          <w:szCs w:val="32"/>
          <w:highlight w:val="none"/>
        </w:rPr>
        <w:t>第</w:t>
      </w:r>
      <w:r>
        <w:rPr>
          <w:rFonts w:hint="eastAsia" w:ascii="Times New Roman" w:hAnsi="仿宋" w:eastAsia="仿宋"/>
          <w:color w:val="auto"/>
          <w:sz w:val="32"/>
          <w:szCs w:val="32"/>
          <w:highlight w:val="none"/>
          <w:lang w:val="en-US" w:eastAsia="zh-CN"/>
        </w:rPr>
        <w:t>七</w:t>
      </w:r>
      <w:r>
        <w:rPr>
          <w:rFonts w:hint="eastAsia" w:ascii="Times New Roman" w:hAnsi="仿宋" w:eastAsia="仿宋"/>
          <w:color w:val="auto"/>
          <w:sz w:val="32"/>
          <w:szCs w:val="32"/>
          <w:highlight w:val="none"/>
        </w:rPr>
        <w:t xml:space="preserve">条  </w:t>
      </w:r>
      <w:r>
        <w:rPr>
          <w:rFonts w:ascii="Times New Roman" w:hAnsi="仿宋" w:eastAsia="仿宋"/>
          <w:color w:val="auto"/>
          <w:sz w:val="32"/>
          <w:szCs w:val="32"/>
          <w:highlight w:val="none"/>
        </w:rPr>
        <w:t>违约责任</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7</w:t>
      </w:r>
      <w:r>
        <w:rPr>
          <w:rFonts w:hint="eastAsia" w:ascii="Times New Roman" w:hAnsi="Times New Roman" w:eastAsia="仿宋" w:cs="Times New Roman"/>
          <w:color w:val="auto"/>
          <w:sz w:val="32"/>
          <w:szCs w:val="32"/>
          <w:highlight w:val="none"/>
        </w:rPr>
        <w:t xml:space="preserve">.1 </w:t>
      </w:r>
      <w:r>
        <w:rPr>
          <w:rFonts w:ascii="Times New Roman" w:hAnsi="仿宋" w:eastAsia="仿宋" w:cs="Times New Roman"/>
          <w:color w:val="auto"/>
          <w:sz w:val="32"/>
          <w:szCs w:val="32"/>
          <w:highlight w:val="none"/>
        </w:rPr>
        <w:t>双方都应遵守本协议条款，不得违约，任一方不得随意终止本协议。</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7</w:t>
      </w:r>
      <w:r>
        <w:rPr>
          <w:rFonts w:hint="eastAsia" w:ascii="Times New Roman" w:hAnsi="Times New Roman" w:eastAsia="仿宋" w:cs="Times New Roman"/>
          <w:color w:val="auto"/>
          <w:sz w:val="32"/>
          <w:szCs w:val="32"/>
          <w:highlight w:val="none"/>
        </w:rPr>
        <w:t xml:space="preserve">.2 </w:t>
      </w:r>
      <w:r>
        <w:rPr>
          <w:rFonts w:ascii="Times New Roman" w:hAnsi="仿宋" w:eastAsia="仿宋" w:cs="Times New Roman"/>
          <w:color w:val="auto"/>
          <w:sz w:val="32"/>
          <w:szCs w:val="32"/>
          <w:highlight w:val="none"/>
        </w:rPr>
        <w:t>乙方应按项目需求中所列</w:t>
      </w:r>
      <w:r>
        <w:rPr>
          <w:rFonts w:hint="eastAsia" w:ascii="Times New Roman" w:hAnsi="仿宋" w:eastAsia="仿宋" w:cs="Times New Roman"/>
          <w:color w:val="auto"/>
          <w:sz w:val="32"/>
          <w:szCs w:val="32"/>
          <w:highlight w:val="none"/>
          <w:lang w:val="en-US" w:eastAsia="zh-CN"/>
        </w:rPr>
        <w:t>服务内容</w:t>
      </w:r>
      <w:r>
        <w:rPr>
          <w:rFonts w:ascii="Times New Roman" w:hAnsi="仿宋" w:eastAsia="仿宋" w:cs="Times New Roman"/>
          <w:color w:val="auto"/>
          <w:sz w:val="32"/>
          <w:szCs w:val="32"/>
          <w:highlight w:val="none"/>
        </w:rPr>
        <w:t>完整、准确、及时地提供服务。</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7.</w:t>
      </w:r>
      <w:r>
        <w:rPr>
          <w:rFonts w:hint="eastAsia" w:ascii="Times New Roman" w:hAnsi="Times New Roman" w:eastAsia="仿宋" w:cs="Times New Roman"/>
          <w:color w:val="auto"/>
          <w:sz w:val="32"/>
          <w:szCs w:val="32"/>
          <w:highlight w:val="none"/>
        </w:rPr>
        <w:t xml:space="preserve">3 </w:t>
      </w:r>
      <w:r>
        <w:rPr>
          <w:rFonts w:ascii="Times New Roman" w:hAnsi="仿宋" w:eastAsia="仿宋" w:cs="Times New Roman"/>
          <w:color w:val="auto"/>
          <w:sz w:val="32"/>
          <w:szCs w:val="32"/>
          <w:highlight w:val="none"/>
        </w:rPr>
        <w:t>甲方有下列情形的，乙方有权要求甲方承担违约责任：</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1</w:t>
      </w:r>
      <w:r>
        <w:rPr>
          <w:rFonts w:ascii="Times New Roman" w:hAnsi="仿宋" w:eastAsia="仿宋" w:cs="Times New Roman"/>
          <w:color w:val="auto"/>
          <w:sz w:val="32"/>
          <w:szCs w:val="32"/>
          <w:highlight w:val="none"/>
        </w:rPr>
        <w:t>）如遇特殊情况甲方未能按时支付合同发票金额，须提前与乙方说明，但逾期最长不能超过</w:t>
      </w:r>
      <w:r>
        <w:rPr>
          <w:rFonts w:ascii="Times New Roman" w:hAnsi="Times New Roman" w:eastAsia="仿宋" w:cs="Times New Roman"/>
          <w:color w:val="auto"/>
          <w:sz w:val="32"/>
          <w:szCs w:val="32"/>
          <w:highlight w:val="none"/>
        </w:rPr>
        <w:t>30</w:t>
      </w:r>
      <w:r>
        <w:rPr>
          <w:rFonts w:hint="eastAsia" w:ascii="Times New Roman" w:hAnsi="Times New Roman" w:eastAsia="仿宋" w:cs="Times New Roman"/>
          <w:color w:val="auto"/>
          <w:sz w:val="32"/>
          <w:szCs w:val="32"/>
          <w:highlight w:val="none"/>
        </w:rPr>
        <w:t>个日历</w:t>
      </w:r>
      <w:r>
        <w:rPr>
          <w:rFonts w:ascii="Times New Roman" w:hAnsi="仿宋" w:eastAsia="仿宋" w:cs="Times New Roman"/>
          <w:color w:val="auto"/>
          <w:sz w:val="32"/>
          <w:szCs w:val="32"/>
          <w:highlight w:val="none"/>
        </w:rPr>
        <w:t>日。逾期</w:t>
      </w:r>
      <w:r>
        <w:rPr>
          <w:rFonts w:ascii="Times New Roman" w:hAnsi="Times New Roman" w:eastAsia="仿宋" w:cs="Times New Roman"/>
          <w:color w:val="auto"/>
          <w:sz w:val="32"/>
          <w:szCs w:val="32"/>
          <w:highlight w:val="none"/>
        </w:rPr>
        <w:t>30</w:t>
      </w:r>
      <w:r>
        <w:rPr>
          <w:rFonts w:hint="eastAsia" w:ascii="Times New Roman" w:hAnsi="Times New Roman" w:eastAsia="仿宋" w:cs="Times New Roman"/>
          <w:color w:val="auto"/>
          <w:sz w:val="32"/>
          <w:szCs w:val="32"/>
          <w:highlight w:val="none"/>
        </w:rPr>
        <w:t>个日历</w:t>
      </w:r>
      <w:r>
        <w:rPr>
          <w:rFonts w:ascii="Times New Roman" w:hAnsi="仿宋" w:eastAsia="仿宋" w:cs="Times New Roman"/>
          <w:color w:val="auto"/>
          <w:sz w:val="32"/>
          <w:szCs w:val="32"/>
          <w:highlight w:val="none"/>
        </w:rPr>
        <w:t>日以上的，经乙方两次（两次间隔时间一周以上）书面催讨后仍不支付，乙方有权单方面解除本协议，并有权要求甲方向乙方支付未</w:t>
      </w:r>
      <w:r>
        <w:rPr>
          <w:rFonts w:hint="eastAsia" w:ascii="Times New Roman" w:hAnsi="仿宋" w:eastAsia="仿宋" w:cs="Times New Roman"/>
          <w:color w:val="auto"/>
          <w:sz w:val="32"/>
          <w:szCs w:val="32"/>
          <w:highlight w:val="none"/>
        </w:rPr>
        <w:t>支</w:t>
      </w:r>
      <w:r>
        <w:rPr>
          <w:rFonts w:ascii="Times New Roman" w:hAnsi="仿宋" w:eastAsia="仿宋" w:cs="Times New Roman"/>
          <w:color w:val="auto"/>
          <w:sz w:val="32"/>
          <w:szCs w:val="32"/>
          <w:highlight w:val="none"/>
        </w:rPr>
        <w:t>付发票金额的日万分之三，作为违约金。</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2</w:t>
      </w:r>
      <w:r>
        <w:rPr>
          <w:rFonts w:ascii="Times New Roman" w:hAnsi="仿宋" w:eastAsia="仿宋" w:cs="Times New Roman"/>
          <w:color w:val="auto"/>
          <w:sz w:val="32"/>
          <w:szCs w:val="32"/>
          <w:highlight w:val="none"/>
        </w:rPr>
        <w:t>）如果服务期间由于甲方原因造成推迟，双方应协商确定新的项目实施计划表。如果双方就新的服务时间表不能达成一致，则应顺延因甲方原因而推迟的时间。</w:t>
      </w:r>
    </w:p>
    <w:p>
      <w:pPr>
        <w:spacing w:line="540" w:lineRule="exact"/>
        <w:ind w:firstLine="640" w:firstLineChars="200"/>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w:t>
      </w:r>
      <w:r>
        <w:rPr>
          <w:rFonts w:ascii="Times New Roman" w:hAnsi="Times New Roman" w:eastAsia="仿宋" w:cs="Times New Roman"/>
          <w:color w:val="auto"/>
          <w:sz w:val="32"/>
          <w:szCs w:val="32"/>
          <w:highlight w:val="none"/>
        </w:rPr>
        <w:t>3</w:t>
      </w:r>
      <w:r>
        <w:rPr>
          <w:rFonts w:ascii="Times New Roman" w:hAnsi="仿宋" w:eastAsia="仿宋" w:cs="Times New Roman"/>
          <w:color w:val="auto"/>
          <w:sz w:val="32"/>
          <w:szCs w:val="32"/>
          <w:highlight w:val="none"/>
        </w:rPr>
        <w:t>）甲方违反保密协议或本合同其他约定的，乙方有权要求甲方按合同总价款的</w:t>
      </w:r>
      <w:r>
        <w:rPr>
          <w:rFonts w:ascii="Times New Roman" w:hAnsi="Times New Roman" w:eastAsia="仿宋" w:cs="Times New Roman"/>
          <w:color w:val="auto"/>
          <w:sz w:val="32"/>
          <w:szCs w:val="32"/>
          <w:highlight w:val="none"/>
        </w:rPr>
        <w:t>30%</w:t>
      </w:r>
      <w:r>
        <w:rPr>
          <w:rFonts w:ascii="Times New Roman" w:hAnsi="仿宋" w:eastAsia="仿宋" w:cs="Times New Roman"/>
          <w:color w:val="auto"/>
          <w:sz w:val="32"/>
          <w:szCs w:val="32"/>
          <w:highlight w:val="none"/>
        </w:rPr>
        <w:t>支付违约金，违约金不足以赔偿乙方损失的，甲方应继续赔偿。</w:t>
      </w:r>
    </w:p>
    <w:p>
      <w:pPr>
        <w:spacing w:line="540" w:lineRule="exact"/>
        <w:ind w:firstLine="640" w:firstLineChars="200"/>
        <w:rPr>
          <w:rFonts w:ascii="Times New Roman" w:hAnsi="仿宋"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7</w:t>
      </w:r>
      <w:r>
        <w:rPr>
          <w:rFonts w:hint="eastAsia" w:ascii="Times New Roman" w:hAnsi="Times New Roman" w:eastAsia="仿宋" w:cs="Times New Roman"/>
          <w:color w:val="auto"/>
          <w:sz w:val="32"/>
          <w:szCs w:val="32"/>
          <w:highlight w:val="none"/>
        </w:rPr>
        <w:t xml:space="preserve">.4 </w:t>
      </w:r>
      <w:r>
        <w:rPr>
          <w:rFonts w:ascii="Times New Roman" w:hAnsi="仿宋" w:eastAsia="仿宋" w:cs="Times New Roman"/>
          <w:color w:val="auto"/>
          <w:sz w:val="32"/>
          <w:szCs w:val="32"/>
          <w:highlight w:val="none"/>
        </w:rPr>
        <w:t>乙方有下列情形的，甲方有权要求乙方承担违约责任</w:t>
      </w:r>
      <w:r>
        <w:rPr>
          <w:rFonts w:hint="eastAsia" w:ascii="Times New Roman" w:hAnsi="仿宋" w:eastAsia="仿宋" w:cs="Times New Roman"/>
          <w:color w:val="auto"/>
          <w:sz w:val="32"/>
          <w:szCs w:val="32"/>
          <w:highlight w:val="none"/>
        </w:rPr>
        <w:t>：</w:t>
      </w:r>
    </w:p>
    <w:p>
      <w:pPr>
        <w:numPr>
          <w:ilvl w:val="0"/>
          <w:numId w:val="2"/>
        </w:numPr>
        <w:spacing w:line="540" w:lineRule="exact"/>
        <w:ind w:firstLine="640" w:firstLineChars="200"/>
        <w:rPr>
          <w:rFonts w:ascii="Times New Roman" w:hAnsi="仿宋" w:eastAsia="仿宋" w:cs="Times New Roman"/>
          <w:color w:val="auto"/>
          <w:sz w:val="32"/>
          <w:szCs w:val="32"/>
          <w:highlight w:val="none"/>
        </w:rPr>
      </w:pPr>
      <w:r>
        <w:rPr>
          <w:rFonts w:ascii="Times New Roman" w:hAnsi="仿宋" w:eastAsia="仿宋" w:cs="Times New Roman"/>
          <w:color w:val="auto"/>
          <w:sz w:val="32"/>
          <w:szCs w:val="32"/>
          <w:highlight w:val="none"/>
        </w:rPr>
        <w:t>乙方未按本协议及其附件约定的内容和进度、质量提供服务的，并在甲方两次书面提出后仍无法进行合理性补救的，甲方有权：</w:t>
      </w:r>
    </w:p>
    <w:p>
      <w:pPr>
        <w:spacing w:line="540" w:lineRule="exact"/>
        <w:ind w:firstLine="640" w:firstLineChars="200"/>
        <w:rPr>
          <w:rFonts w:ascii="Times New Roman" w:hAnsi="仿宋" w:eastAsia="仿宋" w:cs="Times New Roman"/>
          <w:bCs/>
          <w:color w:val="auto"/>
          <w:sz w:val="32"/>
          <w:szCs w:val="32"/>
          <w:highlight w:val="none"/>
        </w:rPr>
      </w:pPr>
      <w:r>
        <w:rPr>
          <w:rFonts w:ascii="仿宋" w:hAnsi="仿宋" w:eastAsia="仿宋" w:cs="Times New Roman"/>
          <w:bCs/>
          <w:color w:val="auto"/>
          <w:sz w:val="32"/>
          <w:szCs w:val="32"/>
          <w:highlight w:val="none"/>
        </w:rPr>
        <w:t>①</w:t>
      </w:r>
      <w:r>
        <w:rPr>
          <w:rFonts w:ascii="Times New Roman" w:hAnsi="仿宋" w:eastAsia="仿宋" w:cs="Times New Roman"/>
          <w:bCs/>
          <w:color w:val="auto"/>
          <w:sz w:val="32"/>
          <w:szCs w:val="32"/>
          <w:highlight w:val="none"/>
        </w:rPr>
        <w:t>要求乙方继续履行本合同，并按每逾期</w:t>
      </w:r>
      <w:r>
        <w:rPr>
          <w:rFonts w:ascii="Times New Roman" w:hAnsi="Times New Roman" w:eastAsia="仿宋" w:cs="Times New Roman"/>
          <w:bCs/>
          <w:color w:val="auto"/>
          <w:sz w:val="32"/>
          <w:szCs w:val="32"/>
          <w:highlight w:val="none"/>
        </w:rPr>
        <w:t>1</w:t>
      </w:r>
      <w:r>
        <w:rPr>
          <w:rFonts w:hint="eastAsia" w:ascii="Times New Roman" w:hAnsi="Times New Roman" w:eastAsia="仿宋" w:cs="Times New Roman"/>
          <w:bCs/>
          <w:color w:val="auto"/>
          <w:sz w:val="32"/>
          <w:szCs w:val="32"/>
          <w:highlight w:val="none"/>
        </w:rPr>
        <w:t>个日历</w:t>
      </w:r>
      <w:r>
        <w:rPr>
          <w:rFonts w:ascii="Times New Roman" w:hAnsi="仿宋" w:eastAsia="仿宋" w:cs="Times New Roman"/>
          <w:bCs/>
          <w:color w:val="auto"/>
          <w:sz w:val="32"/>
          <w:szCs w:val="32"/>
          <w:highlight w:val="none"/>
        </w:rPr>
        <w:t>日，</w:t>
      </w:r>
      <w:r>
        <w:rPr>
          <w:rFonts w:ascii="Times New Roman" w:hAnsi="仿宋" w:eastAsia="仿宋" w:cs="Times New Roman"/>
          <w:color w:val="auto"/>
          <w:sz w:val="32"/>
          <w:szCs w:val="32"/>
          <w:highlight w:val="none"/>
        </w:rPr>
        <w:t>乙方按照合同总价款的日万分之三向甲方支付违约金，直至交付合格的成果文件为止，如该数额不足以弥补甲方的实际损</w:t>
      </w:r>
      <w:r>
        <w:rPr>
          <w:rFonts w:ascii="Times New Roman" w:hAnsi="仿宋" w:eastAsia="仿宋" w:cs="Times New Roman"/>
          <w:bCs/>
          <w:color w:val="auto"/>
          <w:sz w:val="32"/>
          <w:szCs w:val="32"/>
          <w:highlight w:val="none"/>
        </w:rPr>
        <w:t>失，甲方有权继续向乙方追索。</w:t>
      </w:r>
    </w:p>
    <w:p>
      <w:pPr>
        <w:spacing w:line="540" w:lineRule="exact"/>
        <w:ind w:firstLine="640" w:firstLineChars="200"/>
        <w:rPr>
          <w:rFonts w:ascii="Times New Roman" w:hAnsi="仿宋" w:eastAsia="仿宋" w:cs="Times New Roman"/>
          <w:color w:val="auto"/>
          <w:sz w:val="32"/>
          <w:szCs w:val="32"/>
          <w:highlight w:val="none"/>
        </w:rPr>
      </w:pPr>
      <w:r>
        <w:rPr>
          <w:rFonts w:ascii="仿宋" w:hAnsi="仿宋" w:eastAsia="仿宋" w:cs="Times New Roman"/>
          <w:color w:val="auto"/>
          <w:sz w:val="32"/>
          <w:szCs w:val="32"/>
          <w:highlight w:val="none"/>
        </w:rPr>
        <w:t>②</w:t>
      </w:r>
      <w:r>
        <w:rPr>
          <w:rFonts w:ascii="Times New Roman" w:hAnsi="仿宋" w:eastAsia="仿宋" w:cs="Times New Roman"/>
          <w:color w:val="auto"/>
          <w:sz w:val="32"/>
          <w:szCs w:val="32"/>
          <w:highlight w:val="none"/>
        </w:rPr>
        <w:t>单方面中止合同或解除合同，并停止支付本阶段及以后阶段款项。</w:t>
      </w:r>
      <w:r>
        <w:rPr>
          <w:rFonts w:hint="eastAsia" w:ascii="Times New Roman" w:hAnsi="仿宋" w:eastAsia="仿宋" w:cs="Times New Roman"/>
          <w:color w:val="auto"/>
          <w:sz w:val="32"/>
          <w:szCs w:val="32"/>
          <w:highlight w:val="none"/>
        </w:rPr>
        <w:t>甲方有权索回已经支付款项的5%，</w:t>
      </w:r>
      <w:r>
        <w:rPr>
          <w:rFonts w:ascii="Times New Roman" w:hAnsi="仿宋" w:eastAsia="仿宋" w:cs="Times New Roman"/>
          <w:color w:val="auto"/>
          <w:sz w:val="32"/>
          <w:szCs w:val="32"/>
          <w:highlight w:val="none"/>
        </w:rPr>
        <w:t>同时，甲方有权要求乙方按合同总价款的</w:t>
      </w:r>
      <w:r>
        <w:rPr>
          <w:rFonts w:ascii="Times New Roman" w:hAnsi="Times New Roman" w:eastAsia="仿宋" w:cs="Times New Roman"/>
          <w:color w:val="auto"/>
          <w:sz w:val="32"/>
          <w:szCs w:val="32"/>
          <w:highlight w:val="none"/>
        </w:rPr>
        <w:t>30%</w:t>
      </w:r>
      <w:r>
        <w:rPr>
          <w:rFonts w:ascii="Times New Roman" w:hAnsi="仿宋" w:eastAsia="仿宋" w:cs="Times New Roman"/>
          <w:color w:val="auto"/>
          <w:sz w:val="32"/>
          <w:szCs w:val="32"/>
          <w:highlight w:val="none"/>
        </w:rPr>
        <w:t>支付违约金，违约金不足以赔偿甲方损失的，乙方应继续赔偿。</w:t>
      </w:r>
    </w:p>
    <w:p>
      <w:pPr>
        <w:spacing w:line="540" w:lineRule="exact"/>
        <w:ind w:firstLine="640" w:firstLineChars="200"/>
        <w:rPr>
          <w:rFonts w:ascii="Times New Roman" w:hAnsi="仿宋" w:eastAsia="仿宋" w:cs="Times New Roman"/>
          <w:color w:val="auto"/>
          <w:sz w:val="32"/>
          <w:szCs w:val="32"/>
          <w:highlight w:val="none"/>
        </w:rPr>
      </w:pPr>
      <w:r>
        <w:rPr>
          <w:rFonts w:ascii="仿宋" w:hAnsi="仿宋" w:eastAsia="仿宋" w:cs="Times New Roman"/>
          <w:bCs/>
          <w:color w:val="auto"/>
          <w:sz w:val="32"/>
          <w:szCs w:val="32"/>
          <w:highlight w:val="none"/>
        </w:rPr>
        <w:t>③</w:t>
      </w:r>
      <w:r>
        <w:rPr>
          <w:rFonts w:hint="eastAsia" w:ascii="仿宋" w:hAnsi="仿宋" w:eastAsia="仿宋" w:cs="仿宋"/>
          <w:color w:val="auto"/>
          <w:sz w:val="32"/>
          <w:szCs w:val="32"/>
          <w:highlight w:val="none"/>
        </w:rPr>
        <w:t>甲方</w:t>
      </w:r>
      <w:r>
        <w:rPr>
          <w:rFonts w:hint="eastAsia" w:ascii="Times New Roman" w:hAnsi="仿宋" w:eastAsia="仿宋" w:cs="Times New Roman"/>
          <w:color w:val="auto"/>
          <w:sz w:val="32"/>
          <w:szCs w:val="32"/>
          <w:highlight w:val="none"/>
        </w:rPr>
        <w:t>在单方中止合同后认为有必要由乙方继续承担该项目的，经双方友好协商可恢复并继续履行本合同。</w:t>
      </w:r>
    </w:p>
    <w:p>
      <w:pPr>
        <w:numPr>
          <w:ilvl w:val="0"/>
          <w:numId w:val="3"/>
        </w:numPr>
        <w:spacing w:line="540" w:lineRule="exact"/>
        <w:ind w:firstLine="640" w:firstLineChars="200"/>
        <w:rPr>
          <w:rFonts w:ascii="Times New Roman" w:hAnsi="仿宋" w:eastAsia="仿宋" w:cs="Times New Roman"/>
          <w:color w:val="auto"/>
          <w:sz w:val="32"/>
          <w:szCs w:val="32"/>
          <w:highlight w:val="none"/>
        </w:rPr>
      </w:pPr>
      <w:r>
        <w:rPr>
          <w:rFonts w:ascii="Times New Roman" w:hAnsi="仿宋" w:eastAsia="仿宋" w:cs="Times New Roman"/>
          <w:color w:val="auto"/>
          <w:sz w:val="32"/>
          <w:szCs w:val="32"/>
          <w:highlight w:val="none"/>
        </w:rPr>
        <w:t>乙方应向甲方提供真实、合法、有效的工商登记、项目背景等材料供甲方考察。乙方应保证其提供的服务项目成果与其资质条件相符合。乙方若提供任何虚假材料的，甲方自发现</w:t>
      </w:r>
      <w:r>
        <w:rPr>
          <w:rFonts w:hint="eastAsia" w:ascii="Times New Roman" w:hAnsi="仿宋" w:eastAsia="仿宋" w:cs="Times New Roman"/>
          <w:color w:val="auto"/>
          <w:sz w:val="32"/>
          <w:szCs w:val="32"/>
          <w:highlight w:val="none"/>
        </w:rPr>
        <w:t>之</w:t>
      </w:r>
      <w:r>
        <w:rPr>
          <w:rFonts w:ascii="Times New Roman" w:hAnsi="仿宋" w:eastAsia="仿宋" w:cs="Times New Roman"/>
          <w:color w:val="auto"/>
          <w:sz w:val="32"/>
          <w:szCs w:val="32"/>
          <w:highlight w:val="none"/>
        </w:rPr>
        <w:t>日起有权解除本合同，要求乙方返还已支付款项。同时，甲方有权要求乙方按合同总价款的</w:t>
      </w:r>
      <w:r>
        <w:rPr>
          <w:rFonts w:ascii="Times New Roman" w:hAnsi="Times New Roman" w:eastAsia="仿宋" w:cs="Times New Roman"/>
          <w:color w:val="auto"/>
          <w:sz w:val="32"/>
          <w:szCs w:val="32"/>
          <w:highlight w:val="none"/>
        </w:rPr>
        <w:t>30%</w:t>
      </w:r>
      <w:r>
        <w:rPr>
          <w:rFonts w:ascii="Times New Roman" w:hAnsi="仿宋" w:eastAsia="仿宋" w:cs="Times New Roman"/>
          <w:color w:val="auto"/>
          <w:sz w:val="32"/>
          <w:szCs w:val="32"/>
          <w:highlight w:val="none"/>
        </w:rPr>
        <w:t>支付违约金，违约金不足以赔偿甲方损失的，乙方应继续赔偿。</w:t>
      </w:r>
    </w:p>
    <w:p>
      <w:pPr>
        <w:numPr>
          <w:ilvl w:val="0"/>
          <w:numId w:val="4"/>
        </w:numPr>
        <w:spacing w:line="540" w:lineRule="exact"/>
        <w:ind w:firstLine="640" w:firstLineChars="200"/>
        <w:rPr>
          <w:rFonts w:ascii="Times New Roman" w:hAnsi="仿宋" w:eastAsia="仿宋" w:cs="Times New Roman"/>
          <w:color w:val="auto"/>
          <w:sz w:val="32"/>
          <w:szCs w:val="32"/>
          <w:highlight w:val="none"/>
        </w:rPr>
      </w:pPr>
      <w:r>
        <w:rPr>
          <w:rFonts w:ascii="Times New Roman" w:hAnsi="仿宋" w:eastAsia="仿宋" w:cs="Times New Roman"/>
          <w:color w:val="auto"/>
          <w:sz w:val="32"/>
          <w:szCs w:val="32"/>
          <w:highlight w:val="none"/>
        </w:rPr>
        <w:t>乙方违反保密协议或本协议</w:t>
      </w:r>
      <w:r>
        <w:rPr>
          <w:rFonts w:hint="eastAsia" w:hAnsi="仿宋" w:eastAsia="仿宋" w:cs="Times New Roman"/>
          <w:color w:val="auto"/>
          <w:sz w:val="32"/>
          <w:szCs w:val="32"/>
          <w:highlight w:val="none"/>
          <w:lang w:val="en-US" w:eastAsia="zh-CN"/>
        </w:rPr>
        <w:t>第五条5.2款等</w:t>
      </w:r>
      <w:r>
        <w:rPr>
          <w:rFonts w:ascii="Times New Roman" w:hAnsi="仿宋" w:eastAsia="仿宋" w:cs="Times New Roman"/>
          <w:color w:val="auto"/>
          <w:sz w:val="32"/>
          <w:szCs w:val="32"/>
          <w:highlight w:val="none"/>
        </w:rPr>
        <w:t>，甲方有权要求乙方按合同总价款的</w:t>
      </w:r>
      <w:r>
        <w:rPr>
          <w:rFonts w:ascii="Times New Roman" w:hAnsi="Times New Roman" w:eastAsia="仿宋" w:cs="Times New Roman"/>
          <w:color w:val="auto"/>
          <w:sz w:val="32"/>
          <w:szCs w:val="32"/>
          <w:highlight w:val="none"/>
        </w:rPr>
        <w:t>30%</w:t>
      </w:r>
      <w:r>
        <w:rPr>
          <w:rFonts w:ascii="Times New Roman" w:hAnsi="仿宋" w:eastAsia="仿宋" w:cs="Times New Roman"/>
          <w:color w:val="auto"/>
          <w:sz w:val="32"/>
          <w:szCs w:val="32"/>
          <w:highlight w:val="none"/>
        </w:rPr>
        <w:t>支付违约金，违约金不足以赔偿甲方损失的，乙方应继续赔偿。</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7</w:t>
      </w:r>
      <w:r>
        <w:rPr>
          <w:rFonts w:hint="eastAsia" w:ascii="Times New Roman" w:hAnsi="Times New Roman" w:eastAsia="仿宋" w:cs="Times New Roman"/>
          <w:color w:val="auto"/>
          <w:sz w:val="32"/>
          <w:szCs w:val="32"/>
          <w:highlight w:val="none"/>
        </w:rPr>
        <w:t xml:space="preserve">.5 </w:t>
      </w:r>
      <w:r>
        <w:rPr>
          <w:rFonts w:ascii="Times New Roman" w:hAnsi="仿宋" w:eastAsia="仿宋" w:cs="Times New Roman"/>
          <w:color w:val="auto"/>
          <w:sz w:val="32"/>
          <w:szCs w:val="32"/>
          <w:highlight w:val="none"/>
        </w:rPr>
        <w:t>本合同终止、提前终止及解除后的</w:t>
      </w:r>
      <w:r>
        <w:rPr>
          <w:rFonts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u w:val="single"/>
          <w:lang w:val="en-US" w:eastAsia="zh-CN"/>
        </w:rPr>
        <w:t xml:space="preserve">   </w:t>
      </w:r>
      <w:r>
        <w:rPr>
          <w:rFonts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rPr>
        <w:t>个日历日</w:t>
      </w:r>
      <w:r>
        <w:rPr>
          <w:rFonts w:ascii="Times New Roman" w:hAnsi="仿宋" w:eastAsia="仿宋" w:cs="Times New Roman"/>
          <w:color w:val="auto"/>
          <w:sz w:val="32"/>
          <w:szCs w:val="32"/>
          <w:highlight w:val="none"/>
        </w:rPr>
        <w:t>内，乙方应当向甲方如数归还办公用品，如造成办公用品损毁的，应照价赔偿，且甲方有权在尚未支付款项中予以扣除。</w:t>
      </w:r>
    </w:p>
    <w:p>
      <w:pPr>
        <w:pStyle w:val="18"/>
        <w:spacing w:line="540" w:lineRule="exact"/>
        <w:ind w:left="0" w:firstLine="640" w:firstLineChars="200"/>
        <w:rPr>
          <w:rFonts w:ascii="Times New Roman" w:hAnsi="Times New Roman" w:eastAsia="仿宋"/>
          <w:color w:val="auto"/>
          <w:sz w:val="32"/>
          <w:szCs w:val="32"/>
          <w:highlight w:val="none"/>
        </w:rPr>
      </w:pPr>
      <w:r>
        <w:rPr>
          <w:rFonts w:hint="eastAsia" w:ascii="Times New Roman" w:hAnsi="仿宋" w:eastAsia="仿宋"/>
          <w:color w:val="auto"/>
          <w:sz w:val="32"/>
          <w:szCs w:val="32"/>
          <w:highlight w:val="none"/>
        </w:rPr>
        <w:t>第</w:t>
      </w:r>
      <w:r>
        <w:rPr>
          <w:rFonts w:hint="eastAsia" w:ascii="Times New Roman" w:hAnsi="仿宋" w:eastAsia="仿宋"/>
          <w:color w:val="auto"/>
          <w:sz w:val="32"/>
          <w:szCs w:val="32"/>
          <w:highlight w:val="none"/>
          <w:lang w:val="en-US" w:eastAsia="zh-CN"/>
        </w:rPr>
        <w:t>八</w:t>
      </w:r>
      <w:r>
        <w:rPr>
          <w:rFonts w:hint="eastAsia" w:ascii="Times New Roman" w:hAnsi="仿宋" w:eastAsia="仿宋"/>
          <w:color w:val="auto"/>
          <w:sz w:val="32"/>
          <w:szCs w:val="32"/>
          <w:highlight w:val="none"/>
        </w:rPr>
        <w:t xml:space="preserve">条  </w:t>
      </w:r>
      <w:r>
        <w:rPr>
          <w:rFonts w:ascii="Times New Roman" w:hAnsi="仿宋" w:eastAsia="仿宋"/>
          <w:color w:val="auto"/>
          <w:sz w:val="32"/>
          <w:szCs w:val="32"/>
          <w:highlight w:val="none"/>
        </w:rPr>
        <w:t>争议的解决</w:t>
      </w:r>
    </w:p>
    <w:p>
      <w:pPr>
        <w:spacing w:line="540" w:lineRule="exact"/>
        <w:ind w:firstLine="640" w:firstLineChars="200"/>
        <w:rPr>
          <w:rFonts w:ascii="Times New Roman" w:hAnsi="Times New Roman" w:eastAsia="仿宋" w:cs="Times New Roman"/>
          <w:color w:val="auto"/>
          <w:sz w:val="32"/>
          <w:szCs w:val="32"/>
          <w:highlight w:val="none"/>
          <w:u w:val="single"/>
        </w:rPr>
      </w:pPr>
      <w:r>
        <w:rPr>
          <w:rFonts w:ascii="Times New Roman" w:hAnsi="仿宋" w:eastAsia="仿宋" w:cs="Times New Roman"/>
          <w:color w:val="auto"/>
          <w:sz w:val="32"/>
          <w:szCs w:val="32"/>
          <w:highlight w:val="none"/>
        </w:rPr>
        <w:t>因本合同的解释或履行本合同如发生争议，甲乙双方应友好协商解决，协商不成，可向甲方所在地</w:t>
      </w:r>
      <w:r>
        <w:rPr>
          <w:rFonts w:hint="eastAsia" w:ascii="Times New Roman" w:hAnsi="仿宋" w:eastAsia="仿宋" w:cs="Times New Roman"/>
          <w:color w:val="auto"/>
          <w:sz w:val="32"/>
          <w:szCs w:val="32"/>
          <w:highlight w:val="none"/>
        </w:rPr>
        <w:t>有管辖权的</w:t>
      </w:r>
      <w:r>
        <w:rPr>
          <w:rFonts w:ascii="Times New Roman" w:hAnsi="仿宋" w:eastAsia="仿宋" w:cs="Times New Roman"/>
          <w:color w:val="auto"/>
          <w:sz w:val="32"/>
          <w:szCs w:val="32"/>
          <w:highlight w:val="none"/>
        </w:rPr>
        <w:t>人民法院提请诉讼</w:t>
      </w:r>
      <w:r>
        <w:rPr>
          <w:rFonts w:hint="eastAsia" w:ascii="Times New Roman" w:hAnsi="仿宋" w:eastAsia="仿宋" w:cs="Times New Roman"/>
          <w:color w:val="auto"/>
          <w:sz w:val="32"/>
          <w:szCs w:val="32"/>
          <w:highlight w:val="none"/>
        </w:rPr>
        <w:t>。</w:t>
      </w:r>
    </w:p>
    <w:p>
      <w:pPr>
        <w:pStyle w:val="18"/>
        <w:spacing w:line="540" w:lineRule="exact"/>
        <w:ind w:leftChars="103" w:firstLine="480" w:firstLineChars="150"/>
        <w:rPr>
          <w:rFonts w:ascii="Times New Roman" w:hAnsi="Times New Roman" w:eastAsia="仿宋"/>
          <w:color w:val="auto"/>
          <w:sz w:val="32"/>
          <w:szCs w:val="32"/>
          <w:highlight w:val="none"/>
        </w:rPr>
      </w:pPr>
      <w:r>
        <w:rPr>
          <w:rFonts w:hint="eastAsia" w:ascii="Times New Roman" w:hAnsi="仿宋" w:eastAsia="仿宋"/>
          <w:color w:val="auto"/>
          <w:sz w:val="32"/>
          <w:szCs w:val="32"/>
          <w:highlight w:val="none"/>
        </w:rPr>
        <w:t>第</w:t>
      </w:r>
      <w:r>
        <w:rPr>
          <w:rFonts w:hint="eastAsia" w:ascii="Times New Roman" w:hAnsi="仿宋" w:eastAsia="仿宋"/>
          <w:color w:val="auto"/>
          <w:sz w:val="32"/>
          <w:szCs w:val="32"/>
          <w:highlight w:val="none"/>
          <w:lang w:val="en-US" w:eastAsia="zh-CN"/>
        </w:rPr>
        <w:t>九</w:t>
      </w:r>
      <w:r>
        <w:rPr>
          <w:rFonts w:hint="eastAsia" w:ascii="Times New Roman" w:hAnsi="仿宋" w:eastAsia="仿宋"/>
          <w:color w:val="auto"/>
          <w:sz w:val="32"/>
          <w:szCs w:val="32"/>
          <w:highlight w:val="none"/>
        </w:rPr>
        <w:t xml:space="preserve">条  </w:t>
      </w:r>
      <w:r>
        <w:rPr>
          <w:rFonts w:ascii="Times New Roman" w:hAnsi="仿宋" w:eastAsia="仿宋"/>
          <w:color w:val="auto"/>
          <w:sz w:val="32"/>
          <w:szCs w:val="32"/>
          <w:highlight w:val="none"/>
        </w:rPr>
        <w:t>其他</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仿宋" w:eastAsia="仿宋" w:cs="Times New Roman"/>
          <w:color w:val="auto"/>
          <w:sz w:val="32"/>
          <w:szCs w:val="32"/>
          <w:highlight w:val="none"/>
          <w:lang w:val="en-US" w:eastAsia="zh-CN"/>
        </w:rPr>
        <w:t xml:space="preserve">9.1 </w:t>
      </w:r>
      <w:r>
        <w:rPr>
          <w:rFonts w:ascii="Times New Roman" w:hAnsi="仿宋" w:eastAsia="仿宋" w:cs="Times New Roman"/>
          <w:color w:val="auto"/>
          <w:sz w:val="32"/>
          <w:szCs w:val="32"/>
          <w:highlight w:val="none"/>
        </w:rPr>
        <w:t>本合同中不可抗力指疫情、地震、洪水、台风、海啸、战争、暴乱、政变、法律变更及其它任何不可预见、不可避免且不可克服的自然灾害及意外事故。由于不可抗力造成任何一方不能及时履行或不能及时完全履行本协议规定的责任和义务的，遭受不可抗力的一方应在不可抗力发生之日起</w:t>
      </w:r>
      <w:r>
        <w:rPr>
          <w:rFonts w:ascii="Times New Roman" w:hAnsi="Times New Roman" w:eastAsia="仿宋" w:cs="Times New Roman"/>
          <w:color w:val="auto"/>
          <w:sz w:val="32"/>
          <w:szCs w:val="32"/>
          <w:highlight w:val="none"/>
        </w:rPr>
        <w:t>7</w:t>
      </w:r>
      <w:r>
        <w:rPr>
          <w:rFonts w:hint="eastAsia" w:ascii="Times New Roman" w:hAnsi="Times New Roman" w:eastAsia="仿宋" w:cs="Times New Roman"/>
          <w:color w:val="auto"/>
          <w:sz w:val="32"/>
          <w:szCs w:val="32"/>
          <w:highlight w:val="none"/>
        </w:rPr>
        <w:t>个日历</w:t>
      </w:r>
      <w:r>
        <w:rPr>
          <w:rFonts w:ascii="Times New Roman" w:hAnsi="仿宋" w:eastAsia="仿宋" w:cs="Times New Roman"/>
          <w:color w:val="auto"/>
          <w:sz w:val="32"/>
          <w:szCs w:val="32"/>
          <w:highlight w:val="none"/>
        </w:rPr>
        <w:t>日之内通知另一方，并在不可抗力发生之日起</w:t>
      </w:r>
      <w:r>
        <w:rPr>
          <w:rFonts w:ascii="Times New Roman" w:hAnsi="Times New Roman" w:eastAsia="仿宋" w:cs="Times New Roman"/>
          <w:color w:val="auto"/>
          <w:sz w:val="32"/>
          <w:szCs w:val="32"/>
          <w:highlight w:val="none"/>
        </w:rPr>
        <w:t>30</w:t>
      </w:r>
      <w:r>
        <w:rPr>
          <w:rFonts w:hint="eastAsia" w:ascii="Times New Roman" w:hAnsi="Times New Roman" w:eastAsia="仿宋" w:cs="Times New Roman"/>
          <w:color w:val="auto"/>
          <w:sz w:val="32"/>
          <w:szCs w:val="32"/>
          <w:highlight w:val="none"/>
        </w:rPr>
        <w:t>个日历</w:t>
      </w:r>
      <w:r>
        <w:rPr>
          <w:rFonts w:ascii="Times New Roman" w:hAnsi="仿宋" w:eastAsia="仿宋" w:cs="Times New Roman"/>
          <w:color w:val="auto"/>
          <w:sz w:val="32"/>
          <w:szCs w:val="32"/>
          <w:highlight w:val="none"/>
        </w:rPr>
        <w:t>日内，提供国家有关部门的证明文件。双方根据该不可抗力事件对本合同履行的影响程度，商定本合同是否应当部分免除履行、全部免除履行或延期履行。对因不可抗力事件给各方带来的经济损失，各方均不负赔偿责任。如因为遭受不可抗力一方迟延通知而给对方造成损失的，该方应当赔偿由于通知迟延而给对方造成的损失。同时，遭受不可抗力的一方应采取一切必要的措施减少损失，否则应就扩大的损失承担责任。</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仿宋" w:eastAsia="仿宋" w:cs="Times New Roman"/>
          <w:color w:val="auto"/>
          <w:sz w:val="32"/>
          <w:szCs w:val="32"/>
          <w:highlight w:val="none"/>
          <w:lang w:val="en-US" w:eastAsia="zh-CN"/>
        </w:rPr>
        <w:t xml:space="preserve">9.2 </w:t>
      </w:r>
      <w:r>
        <w:rPr>
          <w:rFonts w:ascii="Times New Roman" w:hAnsi="仿宋" w:eastAsia="仿宋" w:cs="Times New Roman"/>
          <w:color w:val="auto"/>
          <w:sz w:val="32"/>
          <w:szCs w:val="32"/>
          <w:highlight w:val="none"/>
        </w:rPr>
        <w:t>守约方为追究违约方违约责任所支付的催收费用、诉讼费、保全费、公告费、执行费、律师费、差旅费等一切费用由违约方承担。</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仿宋" w:eastAsia="仿宋" w:cs="Times New Roman"/>
          <w:color w:val="auto"/>
          <w:sz w:val="32"/>
          <w:szCs w:val="32"/>
          <w:highlight w:val="none"/>
        </w:rPr>
        <w:t xml:space="preserve">第十条  </w:t>
      </w:r>
      <w:r>
        <w:rPr>
          <w:rFonts w:ascii="Times New Roman" w:hAnsi="仿宋" w:eastAsia="仿宋" w:cs="Times New Roman"/>
          <w:color w:val="auto"/>
          <w:sz w:val="32"/>
          <w:szCs w:val="32"/>
          <w:highlight w:val="none"/>
        </w:rPr>
        <w:t>合同执行期内，甲乙双方均不得随意变更或解除合同。本合同未尽事宜，双方可另行协商，并达成书面补充协议。补充协议与合同具有同样法律效力。</w:t>
      </w:r>
    </w:p>
    <w:p>
      <w:pPr>
        <w:spacing w:line="540" w:lineRule="exact"/>
        <w:ind w:firstLine="640" w:firstLineChars="200"/>
        <w:rPr>
          <w:rFonts w:ascii="Times New Roman" w:hAnsi="Times New Roman" w:eastAsia="仿宋" w:cs="Times New Roman"/>
          <w:color w:val="auto"/>
          <w:sz w:val="32"/>
          <w:szCs w:val="32"/>
          <w:highlight w:val="none"/>
        </w:rPr>
      </w:pPr>
      <w:r>
        <w:rPr>
          <w:rFonts w:hint="eastAsia" w:ascii="Times New Roman" w:hAnsi="仿宋" w:eastAsia="仿宋" w:cs="Times New Roman"/>
          <w:color w:val="auto"/>
          <w:sz w:val="32"/>
          <w:szCs w:val="32"/>
          <w:highlight w:val="none"/>
        </w:rPr>
        <w:t>第十</w:t>
      </w:r>
      <w:r>
        <w:rPr>
          <w:rFonts w:hint="eastAsia" w:ascii="Times New Roman" w:hAnsi="仿宋" w:eastAsia="仿宋" w:cs="Times New Roman"/>
          <w:color w:val="auto"/>
          <w:sz w:val="32"/>
          <w:szCs w:val="32"/>
          <w:highlight w:val="none"/>
          <w:lang w:val="en-US" w:eastAsia="zh-CN"/>
        </w:rPr>
        <w:t>一</w:t>
      </w:r>
      <w:r>
        <w:rPr>
          <w:rFonts w:hint="eastAsia" w:ascii="Times New Roman" w:hAnsi="仿宋" w:eastAsia="仿宋" w:cs="Times New Roman"/>
          <w:color w:val="auto"/>
          <w:sz w:val="32"/>
          <w:szCs w:val="32"/>
          <w:highlight w:val="none"/>
        </w:rPr>
        <w:t xml:space="preserve">条  </w:t>
      </w:r>
      <w:r>
        <w:rPr>
          <w:rFonts w:ascii="Times New Roman" w:hAnsi="仿宋" w:eastAsia="仿宋" w:cs="Times New Roman"/>
          <w:color w:val="auto"/>
          <w:sz w:val="32"/>
          <w:szCs w:val="32"/>
          <w:highlight w:val="none"/>
        </w:rPr>
        <w:t>合同附件、招投标文件与本合同具有同等法律效力。</w:t>
      </w:r>
    </w:p>
    <w:p>
      <w:pPr>
        <w:adjustRightInd w:val="0"/>
        <w:spacing w:line="540" w:lineRule="exact"/>
        <w:ind w:firstLine="480" w:firstLineChars="150"/>
        <w:textAlignment w:val="baseline"/>
        <w:rPr>
          <w:rFonts w:ascii="Times New Roman" w:hAnsi="Times New Roman" w:eastAsia="仿宋" w:cs="Times New Roman"/>
          <w:color w:val="auto"/>
          <w:sz w:val="32"/>
          <w:szCs w:val="32"/>
          <w:highlight w:val="none"/>
        </w:rPr>
      </w:pPr>
      <w:r>
        <w:rPr>
          <w:rFonts w:hint="eastAsia" w:ascii="Times New Roman" w:hAnsi="仿宋" w:eastAsia="仿宋" w:cs="Times New Roman"/>
          <w:color w:val="auto"/>
          <w:sz w:val="32"/>
          <w:szCs w:val="32"/>
          <w:highlight w:val="none"/>
          <w:lang w:val="en-US" w:eastAsia="zh-CN"/>
        </w:rPr>
        <w:t xml:space="preserve"> </w:t>
      </w:r>
      <w:r>
        <w:rPr>
          <w:rFonts w:hint="eastAsia" w:ascii="Times New Roman" w:hAnsi="仿宋" w:eastAsia="仿宋" w:cs="Times New Roman"/>
          <w:color w:val="auto"/>
          <w:sz w:val="32"/>
          <w:szCs w:val="32"/>
          <w:highlight w:val="none"/>
        </w:rPr>
        <w:t>第十</w:t>
      </w:r>
      <w:r>
        <w:rPr>
          <w:rFonts w:hint="eastAsia" w:ascii="Times New Roman" w:hAnsi="仿宋" w:eastAsia="仿宋" w:cs="Times New Roman"/>
          <w:color w:val="auto"/>
          <w:sz w:val="32"/>
          <w:szCs w:val="32"/>
          <w:highlight w:val="none"/>
          <w:lang w:val="en-US" w:eastAsia="zh-CN"/>
        </w:rPr>
        <w:t>二</w:t>
      </w:r>
      <w:r>
        <w:rPr>
          <w:rFonts w:hint="eastAsia" w:ascii="Times New Roman" w:hAnsi="仿宋" w:eastAsia="仿宋" w:cs="Times New Roman"/>
          <w:color w:val="auto"/>
          <w:sz w:val="32"/>
          <w:szCs w:val="32"/>
          <w:highlight w:val="none"/>
        </w:rPr>
        <w:t xml:space="preserve">条 </w:t>
      </w:r>
      <w:r>
        <w:rPr>
          <w:rFonts w:ascii="Times New Roman" w:hAnsi="仿宋" w:eastAsia="仿宋" w:cs="Times New Roman"/>
          <w:color w:val="auto"/>
          <w:sz w:val="32"/>
          <w:szCs w:val="32"/>
          <w:highlight w:val="none"/>
        </w:rPr>
        <w:t>本合同壹式肆份，</w:t>
      </w:r>
      <w:r>
        <w:rPr>
          <w:rFonts w:hint="eastAsia" w:ascii="Times New Roman" w:hAnsi="仿宋" w:eastAsia="仿宋" w:cs="Times New Roman"/>
          <w:color w:val="auto"/>
          <w:sz w:val="32"/>
          <w:szCs w:val="32"/>
          <w:highlight w:val="none"/>
        </w:rPr>
        <w:t>各份具有同等法律效力，</w:t>
      </w:r>
      <w:r>
        <w:rPr>
          <w:rFonts w:ascii="Times New Roman" w:hAnsi="仿宋" w:eastAsia="仿宋" w:cs="Times New Roman"/>
          <w:color w:val="auto"/>
          <w:sz w:val="32"/>
          <w:szCs w:val="32"/>
          <w:highlight w:val="none"/>
        </w:rPr>
        <w:t>甲乙双方各执贰份。自</w:t>
      </w:r>
      <w:r>
        <w:rPr>
          <w:rFonts w:hint="eastAsia" w:ascii="Times New Roman" w:hAnsi="仿宋" w:eastAsia="仿宋" w:cs="Times New Roman"/>
          <w:color w:val="auto"/>
          <w:sz w:val="32"/>
          <w:szCs w:val="32"/>
          <w:highlight w:val="none"/>
        </w:rPr>
        <w:t>甲乙双方法定代表人（</w:t>
      </w:r>
      <w:r>
        <w:rPr>
          <w:rFonts w:hint="eastAsia" w:ascii="Times New Roman" w:hAnsi="仿宋" w:eastAsia="仿宋" w:cs="Times New Roman"/>
          <w:color w:val="auto"/>
          <w:sz w:val="32"/>
          <w:szCs w:val="32"/>
          <w:highlight w:val="none"/>
          <w:lang w:val="en-US" w:eastAsia="zh-CN"/>
        </w:rPr>
        <w:t>或授权代理人</w:t>
      </w:r>
      <w:r>
        <w:rPr>
          <w:rFonts w:hint="eastAsia" w:ascii="Times New Roman" w:hAnsi="仿宋" w:eastAsia="仿宋" w:cs="Times New Roman"/>
          <w:color w:val="auto"/>
          <w:sz w:val="32"/>
          <w:szCs w:val="32"/>
          <w:highlight w:val="none"/>
        </w:rPr>
        <w:t>）</w:t>
      </w:r>
      <w:r>
        <w:rPr>
          <w:rFonts w:ascii="Times New Roman" w:hAnsi="仿宋" w:eastAsia="仿宋" w:cs="Times New Roman"/>
          <w:color w:val="auto"/>
          <w:sz w:val="32"/>
          <w:szCs w:val="32"/>
          <w:highlight w:val="none"/>
        </w:rPr>
        <w:t>签字</w:t>
      </w:r>
      <w:r>
        <w:rPr>
          <w:rFonts w:hint="eastAsia" w:ascii="Times New Roman" w:hAnsi="仿宋" w:eastAsia="仿宋" w:cs="Times New Roman"/>
          <w:color w:val="auto"/>
          <w:sz w:val="32"/>
          <w:szCs w:val="32"/>
          <w:highlight w:val="none"/>
        </w:rPr>
        <w:t>并加</w:t>
      </w:r>
      <w:r>
        <w:rPr>
          <w:rFonts w:ascii="Times New Roman" w:hAnsi="仿宋" w:eastAsia="仿宋" w:cs="Times New Roman"/>
          <w:color w:val="auto"/>
          <w:sz w:val="32"/>
          <w:szCs w:val="32"/>
          <w:highlight w:val="none"/>
        </w:rPr>
        <w:t>盖</w:t>
      </w:r>
      <w:r>
        <w:rPr>
          <w:rFonts w:hint="eastAsia" w:ascii="Times New Roman" w:hAnsi="仿宋" w:eastAsia="仿宋" w:cs="Times New Roman"/>
          <w:color w:val="auto"/>
          <w:sz w:val="32"/>
          <w:szCs w:val="32"/>
          <w:highlight w:val="none"/>
        </w:rPr>
        <w:t>公</w:t>
      </w:r>
      <w:r>
        <w:rPr>
          <w:rFonts w:ascii="Times New Roman" w:hAnsi="仿宋" w:eastAsia="仿宋" w:cs="Times New Roman"/>
          <w:color w:val="auto"/>
          <w:sz w:val="32"/>
          <w:szCs w:val="32"/>
          <w:highlight w:val="none"/>
        </w:rPr>
        <w:t>章之日起</w:t>
      </w:r>
      <w:r>
        <w:rPr>
          <w:rFonts w:hint="eastAsia" w:hAnsi="仿宋" w:eastAsia="仿宋" w:cs="Times New Roman"/>
          <w:color w:val="auto"/>
          <w:sz w:val="32"/>
          <w:szCs w:val="32"/>
          <w:highlight w:val="none"/>
          <w:lang w:val="en-US" w:eastAsia="zh-CN"/>
        </w:rPr>
        <w:t>本合同</w:t>
      </w:r>
      <w:r>
        <w:rPr>
          <w:rFonts w:ascii="Times New Roman" w:hAnsi="仿宋" w:eastAsia="仿宋" w:cs="Times New Roman"/>
          <w:color w:val="auto"/>
          <w:sz w:val="32"/>
          <w:szCs w:val="32"/>
          <w:highlight w:val="none"/>
        </w:rPr>
        <w:t>生效</w:t>
      </w:r>
      <w:r>
        <w:rPr>
          <w:rFonts w:hint="eastAsia" w:hAnsi="仿宋" w:eastAsia="仿宋" w:cs="Times New Roman"/>
          <w:color w:val="auto"/>
          <w:sz w:val="32"/>
          <w:szCs w:val="32"/>
          <w:highlight w:val="none"/>
          <w:lang w:eastAsia="zh-CN"/>
        </w:rPr>
        <w:t>，</w:t>
      </w:r>
      <w:r>
        <w:rPr>
          <w:rFonts w:hint="eastAsia" w:hAnsi="仿宋" w:eastAsia="仿宋" w:cs="Times New Roman"/>
          <w:color w:val="auto"/>
          <w:sz w:val="32"/>
          <w:szCs w:val="32"/>
          <w:highlight w:val="none"/>
          <w:lang w:val="en-US" w:eastAsia="zh-CN"/>
        </w:rPr>
        <w:t>同时甲乙双方保密协议（附件1）生效。此外，乙方驻点人员、系统维护人员等乙方安排为甲方提供本合同项下服务的人员需签署保密承诺书（附件2），并承担相关责任及义务。</w:t>
      </w:r>
    </w:p>
    <w:p>
      <w:pPr>
        <w:spacing w:line="540" w:lineRule="exact"/>
        <w:ind w:firstLine="640" w:firstLineChars="200"/>
        <w:rPr>
          <w:rFonts w:hint="eastAsia" w:ascii="Times New Roman" w:hAnsi="仿宋" w:eastAsia="仿宋" w:cs="Times New Roman"/>
          <w:color w:val="auto"/>
          <w:sz w:val="32"/>
          <w:szCs w:val="32"/>
          <w:highlight w:val="none"/>
          <w:lang w:val="en-US" w:eastAsia="zh-CN"/>
        </w:rPr>
      </w:pPr>
    </w:p>
    <w:p>
      <w:pPr>
        <w:spacing w:line="540" w:lineRule="exact"/>
        <w:ind w:firstLine="640" w:firstLineChars="200"/>
        <w:rPr>
          <w:rFonts w:ascii="Times New Roman" w:hAnsi="仿宋" w:eastAsia="仿宋" w:cs="Times New Roman"/>
          <w:color w:val="auto"/>
          <w:sz w:val="32"/>
          <w:szCs w:val="32"/>
          <w:highlight w:val="none"/>
        </w:rPr>
      </w:pPr>
      <w:r>
        <w:rPr>
          <w:rFonts w:ascii="Times New Roman" w:hAnsi="仿宋" w:eastAsia="仿宋" w:cs="Times New Roman"/>
          <w:color w:val="auto"/>
          <w:sz w:val="32"/>
          <w:szCs w:val="32"/>
          <w:highlight w:val="none"/>
        </w:rPr>
        <w:t>附件</w:t>
      </w:r>
      <w:r>
        <w:rPr>
          <w:rFonts w:ascii="Times New Roman" w:hAnsi="Times New Roman" w:eastAsia="仿宋" w:cs="Times New Roman"/>
          <w:color w:val="auto"/>
          <w:sz w:val="32"/>
          <w:szCs w:val="32"/>
          <w:highlight w:val="none"/>
        </w:rPr>
        <w:t>1</w:t>
      </w:r>
      <w:r>
        <w:rPr>
          <w:rFonts w:ascii="Times New Roman" w:hAnsi="仿宋" w:eastAsia="仿宋" w:cs="Times New Roman"/>
          <w:color w:val="auto"/>
          <w:sz w:val="32"/>
          <w:szCs w:val="32"/>
          <w:highlight w:val="none"/>
        </w:rPr>
        <w:t>：保密协议</w:t>
      </w:r>
    </w:p>
    <w:p>
      <w:pPr>
        <w:pStyle w:val="2"/>
        <w:ind w:firstLine="680" w:firstLineChars="200"/>
        <w:rPr>
          <w:rFonts w:hint="default" w:eastAsia="仿宋"/>
          <w:lang w:val="en-US" w:eastAsia="zh-CN"/>
        </w:rPr>
      </w:pPr>
      <w:r>
        <w:rPr>
          <w:rFonts w:hint="eastAsia" w:hAnsi="仿宋" w:eastAsia="仿宋" w:cs="Times New Roman"/>
          <w:color w:val="auto"/>
          <w:sz w:val="32"/>
          <w:szCs w:val="32"/>
          <w:highlight w:val="none"/>
          <w:lang w:val="en-US" w:eastAsia="zh-CN"/>
        </w:rPr>
        <w:t>附件2：保密承诺书</w:t>
      </w:r>
    </w:p>
    <w:p>
      <w:pPr>
        <w:pStyle w:val="11"/>
        <w:rPr>
          <w:color w:val="auto"/>
          <w:highlight w:val="none"/>
        </w:rPr>
      </w:pPr>
    </w:p>
    <w:p>
      <w:pPr>
        <w:pStyle w:val="11"/>
        <w:rPr>
          <w:color w:val="auto"/>
          <w:highlight w:val="none"/>
        </w:rPr>
      </w:pPr>
    </w:p>
    <w:p>
      <w:pPr>
        <w:widowControl/>
        <w:jc w:val="left"/>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val="en-US" w:eastAsia="zh-CN"/>
        </w:rPr>
        <w:t>以下</w:t>
      </w:r>
      <w:r>
        <w:rPr>
          <w:rFonts w:hint="eastAsia" w:ascii="Times New Roman" w:hAnsi="Times New Roman" w:eastAsia="仿宋" w:cs="Times New Roman"/>
          <w:color w:val="auto"/>
          <w:sz w:val="32"/>
          <w:szCs w:val="32"/>
          <w:highlight w:val="none"/>
        </w:rPr>
        <w:t>无正文）</w:t>
      </w:r>
    </w:p>
    <w:p>
      <w:pPr>
        <w:widowControl/>
        <w:jc w:val="left"/>
        <w:rPr>
          <w:rFonts w:ascii="Times New Roman" w:hAnsi="Times New Roman" w:eastAsia="仿宋" w:cs="Times New Roman"/>
          <w:color w:val="auto"/>
          <w:sz w:val="32"/>
          <w:szCs w:val="32"/>
          <w:highlight w:val="none"/>
        </w:rPr>
      </w:pPr>
    </w:p>
    <w:p>
      <w:pPr>
        <w:widowControl/>
        <w:jc w:val="left"/>
        <w:rPr>
          <w:rFonts w:ascii="Times New Roman" w:hAnsi="Times New Roman" w:eastAsia="仿宋" w:cs="Times New Roman"/>
          <w:color w:val="auto"/>
          <w:sz w:val="32"/>
          <w:szCs w:val="32"/>
          <w:highlight w:val="none"/>
        </w:rPr>
      </w:pPr>
    </w:p>
    <w:p>
      <w:pPr>
        <w:widowControl/>
        <w:jc w:val="left"/>
        <w:rPr>
          <w:rFonts w:ascii="Times New Roman" w:hAnsi="Times New Roman" w:eastAsia="仿宋" w:cs="Times New Roman"/>
          <w:color w:val="auto"/>
          <w:sz w:val="32"/>
          <w:szCs w:val="32"/>
          <w:highlight w:val="none"/>
        </w:rPr>
      </w:pPr>
    </w:p>
    <w:p>
      <w:pPr>
        <w:widowControl/>
        <w:jc w:val="left"/>
        <w:rPr>
          <w:rFonts w:ascii="Times New Roman" w:hAnsi="Times New Roman" w:eastAsia="仿宋" w:cs="Times New Roman"/>
          <w:color w:val="auto"/>
          <w:sz w:val="32"/>
          <w:szCs w:val="32"/>
          <w:highlight w:val="none"/>
        </w:rPr>
      </w:pPr>
    </w:p>
    <w:p>
      <w:pPr>
        <w:spacing w:line="540" w:lineRule="exact"/>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甲方（盖章）：</w:t>
      </w:r>
      <w:r>
        <w:rPr>
          <w:rFonts w:ascii="Times New Roman" w:hAnsi="Times New Roman" w:eastAsia="仿宋" w:cs="Times New Roman"/>
          <w:color w:val="auto"/>
          <w:sz w:val="32"/>
          <w:szCs w:val="32"/>
          <w:highlight w:val="none"/>
        </w:rPr>
        <w:t xml:space="preserve">                     </w:t>
      </w:r>
      <w:r>
        <w:rPr>
          <w:rFonts w:ascii="Times New Roman" w:hAnsi="仿宋" w:eastAsia="仿宋" w:cs="Times New Roman"/>
          <w:color w:val="auto"/>
          <w:sz w:val="32"/>
          <w:szCs w:val="32"/>
          <w:highlight w:val="none"/>
        </w:rPr>
        <w:t>乙方（盖章）：</w:t>
      </w:r>
    </w:p>
    <w:p>
      <w:pPr>
        <w:spacing w:line="540" w:lineRule="exact"/>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 xml:space="preserve">  </w:t>
      </w:r>
    </w:p>
    <w:p>
      <w:pPr>
        <w:spacing w:line="540" w:lineRule="exact"/>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法定代表人</w:t>
      </w:r>
      <w:r>
        <w:rPr>
          <w:rFonts w:ascii="Times New Roman" w:hAnsi="Times New Roman" w:eastAsia="仿宋" w:cs="Times New Roman"/>
          <w:color w:val="auto"/>
          <w:sz w:val="32"/>
          <w:szCs w:val="32"/>
          <w:highlight w:val="none"/>
        </w:rPr>
        <w:t xml:space="preserve">                         </w:t>
      </w:r>
      <w:r>
        <w:rPr>
          <w:rFonts w:ascii="Times New Roman" w:hAnsi="仿宋" w:eastAsia="仿宋" w:cs="Times New Roman"/>
          <w:color w:val="auto"/>
          <w:sz w:val="32"/>
          <w:szCs w:val="32"/>
          <w:highlight w:val="none"/>
        </w:rPr>
        <w:t>法定代表人</w:t>
      </w:r>
    </w:p>
    <w:p>
      <w:pPr>
        <w:spacing w:line="540" w:lineRule="exact"/>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或授权代理人：</w:t>
      </w:r>
      <w:r>
        <w:rPr>
          <w:rFonts w:ascii="Times New Roman" w:hAnsi="Times New Roman" w:eastAsia="仿宋" w:cs="Times New Roman"/>
          <w:color w:val="auto"/>
          <w:sz w:val="32"/>
          <w:szCs w:val="32"/>
          <w:highlight w:val="none"/>
        </w:rPr>
        <w:t xml:space="preserve">                     </w:t>
      </w:r>
      <w:r>
        <w:rPr>
          <w:rFonts w:ascii="Times New Roman" w:hAnsi="仿宋" w:eastAsia="仿宋" w:cs="Times New Roman"/>
          <w:color w:val="auto"/>
          <w:sz w:val="32"/>
          <w:szCs w:val="32"/>
          <w:highlight w:val="none"/>
        </w:rPr>
        <w:t>或授权代理人：</w:t>
      </w:r>
      <w:r>
        <w:rPr>
          <w:rFonts w:ascii="Times New Roman" w:hAnsi="Times New Roman" w:eastAsia="仿宋" w:cs="Times New Roman"/>
          <w:color w:val="auto"/>
          <w:sz w:val="32"/>
          <w:szCs w:val="32"/>
          <w:highlight w:val="none"/>
        </w:rPr>
        <w:t xml:space="preserve">                     </w:t>
      </w:r>
    </w:p>
    <w:p>
      <w:pPr>
        <w:spacing w:line="540" w:lineRule="exact"/>
        <w:rPr>
          <w:rFonts w:hint="eastAsia" w:ascii="宋体" w:hAnsi="宋体" w:cs="宋体"/>
          <w:color w:val="auto"/>
          <w:highlight w:val="yellow"/>
        </w:rPr>
      </w:pPr>
      <w:r>
        <w:rPr>
          <w:rFonts w:ascii="Times New Roman" w:hAnsi="仿宋" w:eastAsia="仿宋" w:cs="Times New Roman"/>
          <w:color w:val="auto"/>
          <w:sz w:val="32"/>
          <w:szCs w:val="32"/>
          <w:highlight w:val="none"/>
        </w:rPr>
        <w:t>日期：</w:t>
      </w:r>
      <w:r>
        <w:rPr>
          <w:rFonts w:ascii="Times New Roman" w:hAnsi="Times New Roman" w:eastAsia="仿宋" w:cs="Times New Roman"/>
          <w:color w:val="auto"/>
          <w:sz w:val="32"/>
          <w:szCs w:val="32"/>
          <w:highlight w:val="none"/>
        </w:rPr>
        <w:t xml:space="preserve">   </w:t>
      </w:r>
      <w:r>
        <w:rPr>
          <w:rFonts w:ascii="Times New Roman" w:hAnsi="仿宋" w:eastAsia="仿宋" w:cs="Times New Roman"/>
          <w:color w:val="auto"/>
          <w:sz w:val="32"/>
          <w:szCs w:val="32"/>
          <w:highlight w:val="none"/>
        </w:rPr>
        <w:t>年</w:t>
      </w:r>
      <w:r>
        <w:rPr>
          <w:rFonts w:ascii="Times New Roman" w:hAnsi="Times New Roman" w:eastAsia="仿宋" w:cs="Times New Roman"/>
          <w:color w:val="auto"/>
          <w:sz w:val="32"/>
          <w:szCs w:val="32"/>
          <w:highlight w:val="none"/>
        </w:rPr>
        <w:t xml:space="preserve">   </w:t>
      </w:r>
      <w:r>
        <w:rPr>
          <w:rFonts w:ascii="Times New Roman" w:hAnsi="仿宋" w:eastAsia="仿宋" w:cs="Times New Roman"/>
          <w:color w:val="auto"/>
          <w:sz w:val="32"/>
          <w:szCs w:val="32"/>
          <w:highlight w:val="none"/>
        </w:rPr>
        <w:t>月</w:t>
      </w:r>
      <w:r>
        <w:rPr>
          <w:rFonts w:ascii="Times New Roman" w:hAnsi="Times New Roman" w:eastAsia="仿宋" w:cs="Times New Roman"/>
          <w:color w:val="auto"/>
          <w:sz w:val="32"/>
          <w:szCs w:val="32"/>
          <w:highlight w:val="none"/>
        </w:rPr>
        <w:t xml:space="preserve">   </w:t>
      </w:r>
      <w:r>
        <w:rPr>
          <w:rFonts w:ascii="Times New Roman" w:hAnsi="仿宋" w:eastAsia="仿宋" w:cs="Times New Roman"/>
          <w:color w:val="auto"/>
          <w:sz w:val="32"/>
          <w:szCs w:val="32"/>
          <w:highlight w:val="none"/>
        </w:rPr>
        <w:t>日</w:t>
      </w:r>
      <w:r>
        <w:rPr>
          <w:rFonts w:ascii="Times New Roman" w:hAnsi="Times New Roman" w:eastAsia="仿宋" w:cs="Times New Roman"/>
          <w:color w:val="auto"/>
          <w:sz w:val="32"/>
          <w:szCs w:val="32"/>
          <w:highlight w:val="none"/>
        </w:rPr>
        <w:t xml:space="preserve">         </w:t>
      </w:r>
      <w:r>
        <w:rPr>
          <w:rFonts w:hint="eastAsia" w:ascii="Times New Roman" w:hAnsi="Times New Roman" w:eastAsia="仿宋" w:cs="Times New Roman"/>
          <w:color w:val="auto"/>
          <w:sz w:val="32"/>
          <w:szCs w:val="32"/>
          <w:highlight w:val="none"/>
          <w:lang w:val="en-US" w:eastAsia="zh-CN"/>
        </w:rPr>
        <w:t xml:space="preserve">    </w:t>
      </w:r>
      <w:r>
        <w:rPr>
          <w:rFonts w:ascii="Times New Roman" w:hAnsi="Times New Roman" w:eastAsia="仿宋" w:cs="Times New Roman"/>
          <w:color w:val="auto"/>
          <w:sz w:val="32"/>
          <w:szCs w:val="32"/>
          <w:highlight w:val="none"/>
        </w:rPr>
        <w:t xml:space="preserve"> </w:t>
      </w:r>
      <w:r>
        <w:rPr>
          <w:rFonts w:ascii="Times New Roman" w:hAnsi="仿宋" w:eastAsia="仿宋" w:cs="Times New Roman"/>
          <w:color w:val="auto"/>
          <w:sz w:val="32"/>
          <w:szCs w:val="32"/>
          <w:highlight w:val="none"/>
        </w:rPr>
        <w:t>日期：</w:t>
      </w:r>
      <w:r>
        <w:rPr>
          <w:rFonts w:ascii="Times New Roman" w:hAnsi="Times New Roman" w:eastAsia="仿宋" w:cs="Times New Roman"/>
          <w:color w:val="auto"/>
          <w:sz w:val="32"/>
          <w:szCs w:val="32"/>
          <w:highlight w:val="none"/>
        </w:rPr>
        <w:t xml:space="preserve">    </w:t>
      </w:r>
      <w:r>
        <w:rPr>
          <w:rFonts w:ascii="Times New Roman" w:hAnsi="仿宋" w:eastAsia="仿宋" w:cs="Times New Roman"/>
          <w:color w:val="auto"/>
          <w:sz w:val="32"/>
          <w:szCs w:val="32"/>
          <w:highlight w:val="none"/>
        </w:rPr>
        <w:t>年</w:t>
      </w:r>
      <w:r>
        <w:rPr>
          <w:rFonts w:ascii="Times New Roman" w:hAnsi="Times New Roman" w:eastAsia="仿宋" w:cs="Times New Roman"/>
          <w:color w:val="auto"/>
          <w:sz w:val="32"/>
          <w:szCs w:val="32"/>
          <w:highlight w:val="none"/>
        </w:rPr>
        <w:t xml:space="preserve">   </w:t>
      </w:r>
      <w:r>
        <w:rPr>
          <w:rFonts w:ascii="Times New Roman" w:hAnsi="仿宋" w:eastAsia="仿宋" w:cs="Times New Roman"/>
          <w:color w:val="auto"/>
          <w:sz w:val="32"/>
          <w:szCs w:val="32"/>
          <w:highlight w:val="none"/>
        </w:rPr>
        <w:t>月</w:t>
      </w:r>
      <w:r>
        <w:rPr>
          <w:rFonts w:ascii="Times New Roman" w:hAnsi="Times New Roman" w:eastAsia="仿宋" w:cs="Times New Roman"/>
          <w:color w:val="auto"/>
          <w:sz w:val="32"/>
          <w:szCs w:val="32"/>
          <w:highlight w:val="none"/>
        </w:rPr>
        <w:t xml:space="preserve">   </w:t>
      </w:r>
      <w:r>
        <w:rPr>
          <w:rFonts w:ascii="Times New Roman" w:hAnsi="仿宋" w:eastAsia="仿宋" w:cs="Times New Roman"/>
          <w:color w:val="auto"/>
          <w:sz w:val="32"/>
          <w:szCs w:val="32"/>
          <w:highlight w:val="none"/>
        </w:rPr>
        <w:t>日</w:t>
      </w:r>
    </w:p>
    <w:p>
      <w:pPr>
        <w:pStyle w:val="3"/>
        <w:keepLines w:val="0"/>
        <w:widowControl/>
        <w:numPr>
          <w:ilvl w:val="0"/>
          <w:numId w:val="0"/>
        </w:numPr>
        <w:tabs>
          <w:tab w:val="left" w:pos="851"/>
        </w:tabs>
        <w:spacing w:before="480" w:beforeLines="200" w:after="240" w:afterLines="100" w:line="240" w:lineRule="auto"/>
        <w:jc w:val="both"/>
        <w:rPr>
          <w:rStyle w:val="41"/>
          <w:rFonts w:hint="eastAsia" w:ascii="仿宋_GB2312" w:hAnsi="仿宋_GB2312" w:eastAsia="仿宋_GB2312" w:cs="仿宋_GB2312"/>
          <w:b w:val="0"/>
          <w:bCs/>
          <w:color w:val="auto"/>
          <w:sz w:val="30"/>
          <w:szCs w:val="30"/>
          <w:highlight w:val="none"/>
        </w:rPr>
      </w:pPr>
      <w:r>
        <w:rPr>
          <w:rFonts w:hint="default" w:ascii="Times New Roman" w:hAnsi="Times New Roman" w:cs="Times New Roman"/>
          <w:color w:val="auto"/>
          <w:sz w:val="21"/>
          <w:szCs w:val="24"/>
          <w:highlight w:val="none"/>
        </w:rPr>
        <w:br w:type="page"/>
      </w:r>
      <w:r>
        <w:rPr>
          <w:rFonts w:hint="eastAsia" w:ascii="仿宋_GB2312" w:hAnsi="仿宋_GB2312" w:eastAsia="仿宋_GB2312" w:cs="仿宋_GB2312"/>
          <w:b w:val="0"/>
          <w:bCs/>
          <w:color w:val="auto"/>
          <w:sz w:val="30"/>
          <w:szCs w:val="30"/>
          <w:highlight w:val="none"/>
        </w:rPr>
        <w:t>附件</w:t>
      </w:r>
      <w:r>
        <w:rPr>
          <w:rFonts w:hint="eastAsia" w:ascii="仿宋_GB2312" w:hAnsi="仿宋_GB2312" w:eastAsia="仿宋_GB2312" w:cs="仿宋_GB2312"/>
          <w:b w:val="0"/>
          <w:bCs/>
          <w:color w:val="auto"/>
          <w:sz w:val="30"/>
          <w:szCs w:val="30"/>
          <w:highlight w:val="none"/>
          <w:lang w:val="en-US" w:eastAsia="zh-CN"/>
        </w:rPr>
        <w:t>1</w:t>
      </w:r>
      <w:r>
        <w:rPr>
          <w:rFonts w:hint="eastAsia" w:ascii="仿宋_GB2312" w:hAnsi="仿宋_GB2312" w:eastAsia="仿宋_GB2312" w:cs="仿宋_GB2312"/>
          <w:b w:val="0"/>
          <w:bCs/>
          <w:color w:val="auto"/>
          <w:sz w:val="30"/>
          <w:szCs w:val="30"/>
          <w:highlight w:val="none"/>
        </w:rPr>
        <w:t>：</w:t>
      </w:r>
    </w:p>
    <w:p>
      <w:pPr>
        <w:adjustRightInd w:val="0"/>
        <w:snapToGrid w:val="0"/>
        <w:spacing w:line="360" w:lineRule="auto"/>
        <w:jc w:val="center"/>
        <w:rPr>
          <w:rFonts w:ascii="方正仿宋_GBK" w:hAnsi="宋体" w:eastAsia="方正仿宋_GBK" w:cs="Arial"/>
          <w:b/>
          <w:color w:val="auto"/>
          <w:sz w:val="44"/>
          <w:szCs w:val="44"/>
          <w:highlight w:val="none"/>
        </w:rPr>
      </w:pPr>
      <w:r>
        <w:rPr>
          <w:rFonts w:hint="eastAsia" w:ascii="方正仿宋_GBK" w:hAnsi="宋体" w:eastAsia="方正仿宋_GBK" w:cs="Arial"/>
          <w:b/>
          <w:color w:val="auto"/>
          <w:sz w:val="44"/>
          <w:szCs w:val="44"/>
          <w:highlight w:val="none"/>
        </w:rPr>
        <w:t>保  密  协  议</w:t>
      </w:r>
      <w:r>
        <w:rPr>
          <w:rFonts w:hint="eastAsia" w:ascii="方正仿宋_GBK" w:hAnsi="宋体" w:eastAsia="方正仿宋_GBK"/>
          <w:color w:val="auto"/>
          <w:sz w:val="32"/>
          <w:szCs w:val="32"/>
          <w:highlight w:val="none"/>
        </w:rPr>
        <w:t xml:space="preserve">                                   </w:t>
      </w:r>
    </w:p>
    <w:p>
      <w:pPr>
        <w:adjustRightInd w:val="0"/>
        <w:snapToGrid w:val="0"/>
        <w:spacing w:line="540" w:lineRule="exact"/>
        <w:rPr>
          <w:rFonts w:ascii="方正仿宋_GBK" w:eastAsia="方正仿宋_GBK"/>
          <w:color w:val="auto"/>
          <w:sz w:val="32"/>
          <w:szCs w:val="32"/>
          <w:highlight w:val="none"/>
        </w:rPr>
      </w:pPr>
      <w:r>
        <w:rPr>
          <w:rFonts w:hint="eastAsia" w:ascii="方正仿宋_GBK" w:eastAsia="方正仿宋_GBK"/>
          <w:color w:val="auto"/>
          <w:sz w:val="32"/>
          <w:szCs w:val="32"/>
          <w:highlight w:val="none"/>
        </w:rPr>
        <w:t>甲方：广西壮族自治区农村信用社联合社</w:t>
      </w:r>
    </w:p>
    <w:p>
      <w:pPr>
        <w:adjustRightInd w:val="0"/>
        <w:snapToGrid w:val="0"/>
        <w:spacing w:line="540" w:lineRule="exact"/>
        <w:rPr>
          <w:rFonts w:ascii="方正仿宋_GBK" w:eastAsia="方正仿宋_GBK"/>
          <w:color w:val="auto"/>
          <w:sz w:val="32"/>
          <w:szCs w:val="32"/>
          <w:highlight w:val="none"/>
        </w:rPr>
      </w:pPr>
      <w:r>
        <w:rPr>
          <w:rFonts w:hint="eastAsia" w:ascii="方正仿宋_GBK" w:eastAsia="方正仿宋_GBK"/>
          <w:color w:val="auto"/>
          <w:sz w:val="32"/>
          <w:szCs w:val="32"/>
          <w:highlight w:val="none"/>
        </w:rPr>
        <w:t>乙方：</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鉴于甲乙双方正在进行广西</w:t>
      </w:r>
      <w:r>
        <w:rPr>
          <w:rFonts w:hint="eastAsia" w:ascii="方正仿宋_GBK" w:eastAsia="方正仿宋_GBK"/>
          <w:color w:val="auto"/>
          <w:sz w:val="32"/>
          <w:szCs w:val="32"/>
          <w:highlight w:val="none"/>
          <w:lang w:val="en-US" w:eastAsia="zh-CN"/>
        </w:rPr>
        <w:t>农村信用社网络学习平台培训服务</w:t>
      </w:r>
      <w:r>
        <w:rPr>
          <w:rFonts w:hint="eastAsia" w:ascii="方正仿宋_GBK" w:eastAsia="方正仿宋_GBK"/>
          <w:color w:val="auto"/>
          <w:sz w:val="32"/>
          <w:szCs w:val="32"/>
          <w:highlight w:val="none"/>
        </w:rPr>
        <w:t>项目（以下简称“项目”）；双方就该项目的实施以及合作过程中，向对方提供有关保密信息，且该保密信息属于提供方合法所有；甲乙双方均希望对本协议所述保密信息予以有效保护，经双方协商，达成本协议。</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一、本协议所指保密信息是指：</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1、甲方向乙方提供：</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在合作过程中，乙方从甲方获得的与合作有关或因合作产生的任何调研、经营信息、客户信息以及甲方内部情况或其他性质的资料，无论以何种形式或载于何种载体，无论在披露时是否以口头、图像或以书面方式表明其具有保密性。</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2、乙方向甲方提供：</w:t>
      </w:r>
    </w:p>
    <w:p>
      <w:pPr>
        <w:adjustRightInd w:val="0"/>
        <w:snapToGrid w:val="0"/>
        <w:spacing w:line="540" w:lineRule="exact"/>
        <w:ind w:firstLine="640" w:firstLineChars="200"/>
        <w:rPr>
          <w:rFonts w:hint="default" w:ascii="方正仿宋_GBK" w:eastAsia="方正仿宋_GBK"/>
          <w:color w:val="auto"/>
          <w:sz w:val="32"/>
          <w:szCs w:val="32"/>
          <w:highlight w:val="yellow"/>
          <w:lang w:val="en-US" w:eastAsia="zh-CN"/>
        </w:rPr>
      </w:pPr>
      <w:r>
        <w:rPr>
          <w:rFonts w:hint="eastAsia" w:ascii="方正仿宋_GBK" w:eastAsia="方正仿宋_GBK"/>
          <w:color w:val="auto"/>
          <w:sz w:val="32"/>
          <w:szCs w:val="32"/>
          <w:highlight w:val="none"/>
        </w:rPr>
        <w:t>在合作过程中，</w:t>
      </w:r>
      <w:r>
        <w:rPr>
          <w:rFonts w:hint="eastAsia" w:ascii="方正仿宋_GBK" w:eastAsia="方正仿宋_GBK"/>
          <w:color w:val="auto"/>
          <w:sz w:val="32"/>
          <w:szCs w:val="32"/>
          <w:highlight w:val="none"/>
          <w:lang w:val="en-US" w:eastAsia="zh-CN"/>
        </w:rPr>
        <w:t>乙方为提供合同项下服务而向甲方提供的软件程序、培训工具、培训课程等具有知识产权的数据和资料。</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3、以下信息不属于保密信息：</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（1）有书面证据表明目前已为公众所知。</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（2）非因接收方的过错而进入公共领域或因其它原因为公众所知晓的信息。</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（3）接收一方其后从其它途径合法获得的信息。</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（4）有证据表明接收信息一方没有使用任何从披露方收到的信息而独立开发的。</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二、双方权利与义务</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1、双方保证该保密信息仅用于与合作有关的用途或目的。</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2、双方各自保证对对方所提供的保密信息予以妥善保存。</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3、双方各自保证对对方所提供的保密信息按本协议约定予以保密，并至少采取适用于对自己的保密信息同样的保护措施和审慎程度进行保密。</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4、除非经另一方事先书面同意或根据有关法律、法规的规定必须向第三方披露外，接收保密信息的一方不得向其它任何第三方披露保密信息或其中的任何部分；除为本协议履行之目的外，保密信息接收方亦不得使用或间接使用保密信息或其中的任何部分。</w:t>
      </w:r>
      <w:r>
        <w:rPr>
          <w:rFonts w:hint="eastAsia" w:ascii="方正仿宋_GBK" w:eastAsia="方正仿宋_GBK"/>
          <w:color w:val="auto"/>
          <w:sz w:val="32"/>
          <w:szCs w:val="32"/>
          <w:highlight w:val="none"/>
        </w:rPr>
        <w:tab/>
      </w:r>
      <w:r>
        <w:rPr>
          <w:rFonts w:hint="eastAsia" w:ascii="方正仿宋_GBK" w:eastAsia="方正仿宋_GBK"/>
          <w:color w:val="auto"/>
          <w:sz w:val="32"/>
          <w:szCs w:val="32"/>
          <w:highlight w:val="none"/>
        </w:rPr>
        <w:t>　</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5、双方保证保密信息仅可在各自一方从事该项目研究的负责人和雇员范围内知悉。在双方上述人员知悉该保密信息前，应向其提示保密信息的保密性和应承担的义务，并保证上述人员以书面形式同意接受本协议条款的约束，确保上述人员承担保密责任的程度不低于本协议规定的程度。</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6、无论本合同是否已终止，甲乙双方应对在本合同履行过程中获悉的有关对方的商业秘密和专有信息进行严格保密。</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三、违约与赔偿</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1、任何一方违反本协议的规定，应在第一时间采取一切必要措施防止保密信息的扩散，尽最大可能消除影响，并应承担违约责任，向守约方支付违约金，违约金的具体数额为双方合作项目金额的30%。</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2、上述违约金数额并不影响受损害方向违约方要求损害赔偿。该等赔偿以受损害方实际遭受的损失为限。</w:t>
      </w:r>
    </w:p>
    <w:p>
      <w:pPr>
        <w:adjustRightInd w:val="0"/>
        <w:snapToGrid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四、有效期</w:t>
      </w:r>
    </w:p>
    <w:p>
      <w:pPr>
        <w:adjustRightInd w:val="0"/>
        <w:snapToGrid w:val="0"/>
        <w:spacing w:line="540" w:lineRule="exact"/>
        <w:ind w:firstLine="640" w:firstLineChars="200"/>
        <w:rPr>
          <w:rFonts w:hint="eastAsia" w:ascii="仿宋_GB2312" w:hAnsi="仿宋_GB2312" w:eastAsia="仿宋_GB2312" w:cs="仿宋_GB2312"/>
          <w:color w:val="auto"/>
          <w:spacing w:val="0"/>
          <w:kern w:val="44"/>
          <w:sz w:val="30"/>
          <w:szCs w:val="30"/>
          <w:highlight w:val="none"/>
          <w:lang w:val="en-US" w:eastAsia="zh-CN"/>
        </w:rPr>
      </w:pPr>
      <w:r>
        <w:rPr>
          <w:rFonts w:hint="eastAsia" w:ascii="方正仿宋_GBK" w:eastAsia="方正仿宋_GBK"/>
          <w:color w:val="auto"/>
          <w:sz w:val="32"/>
          <w:szCs w:val="32"/>
          <w:highlight w:val="none"/>
        </w:rPr>
        <w:t>本协议自主合同签订之日起生效，并持续有效，双方协商一致可终止协议。双方合作项目的终止并不影响该协议的效力。</w:t>
      </w:r>
      <w:r>
        <w:rPr>
          <w:rFonts w:hint="default" w:ascii="Times New Roman" w:hAnsi="Times New Roman" w:cs="Times New Roman"/>
          <w:color w:val="auto"/>
          <w:sz w:val="21"/>
          <w:szCs w:val="24"/>
          <w:highlight w:val="none"/>
        </w:rPr>
        <w:br w:type="page"/>
      </w:r>
      <w:r>
        <w:rPr>
          <w:rFonts w:hint="eastAsia" w:ascii="仿宋_GB2312" w:hAnsi="仿宋_GB2312" w:eastAsia="仿宋_GB2312" w:cs="仿宋_GB2312"/>
          <w:color w:val="auto"/>
          <w:spacing w:val="0"/>
          <w:kern w:val="44"/>
          <w:sz w:val="30"/>
          <w:szCs w:val="30"/>
          <w:highlight w:val="none"/>
          <w:lang w:val="en-US" w:eastAsia="zh-CN"/>
        </w:rPr>
        <w:t>附件2：</w:t>
      </w:r>
    </w:p>
    <w:p>
      <w:pPr>
        <w:pStyle w:val="2"/>
        <w:rPr>
          <w:rFonts w:hint="eastAsia" w:ascii="仿宋_GB2312" w:hAnsi="仿宋_GB2312" w:eastAsia="仿宋_GB2312" w:cs="仿宋_GB2312"/>
          <w:color w:val="auto"/>
          <w:spacing w:val="0"/>
          <w:kern w:val="44"/>
          <w:sz w:val="30"/>
          <w:szCs w:val="30"/>
          <w:highlight w:val="none"/>
          <w:lang w:val="en-US" w:eastAsia="zh-CN"/>
        </w:rPr>
      </w:pPr>
    </w:p>
    <w:p>
      <w:pPr>
        <w:pStyle w:val="2"/>
        <w:jc w:val="center"/>
        <w:rPr>
          <w:rFonts w:hint="eastAsia" w:ascii="方正仿宋_GBK" w:hAnsi="方正仿宋_GBK" w:eastAsia="方正仿宋_GBK" w:cs="方正仿宋_GBK"/>
          <w:color w:val="auto"/>
          <w:spacing w:val="0"/>
          <w:kern w:val="44"/>
          <w:sz w:val="44"/>
          <w:szCs w:val="44"/>
          <w:highlight w:val="none"/>
          <w:lang w:val="en-US" w:eastAsia="zh-CN"/>
        </w:rPr>
      </w:pPr>
      <w:r>
        <w:rPr>
          <w:rFonts w:hint="eastAsia" w:ascii="方正仿宋_GBK" w:hAnsi="方正仿宋_GBK" w:eastAsia="方正仿宋_GBK" w:cs="方正仿宋_GBK"/>
          <w:color w:val="auto"/>
          <w:spacing w:val="0"/>
          <w:kern w:val="44"/>
          <w:sz w:val="44"/>
          <w:szCs w:val="44"/>
          <w:highlight w:val="none"/>
          <w:lang w:val="en-US" w:eastAsia="zh-CN"/>
        </w:rPr>
        <w:t>保 密 承 诺 书</w:t>
      </w:r>
    </w:p>
    <w:p>
      <w:pPr>
        <w:pStyle w:val="2"/>
        <w:jc w:val="center"/>
        <w:rPr>
          <w:rFonts w:hint="eastAsia" w:ascii="仿宋_GB2312" w:hAnsi="仿宋_GB2312" w:eastAsia="仿宋_GB2312" w:cs="仿宋_GB2312"/>
          <w:color w:val="auto"/>
          <w:spacing w:val="0"/>
          <w:kern w:val="44"/>
          <w:sz w:val="30"/>
          <w:szCs w:val="30"/>
          <w:highlight w:val="none"/>
          <w:lang w:val="en-US" w:eastAsia="zh-CN"/>
        </w:rPr>
      </w:pPr>
    </w:p>
    <w:p>
      <w:pPr>
        <w:pStyle w:val="2"/>
        <w:spacing w:before="0" w:after="0"/>
        <w:ind w:firstLine="600" w:firstLineChars="200"/>
        <w:jc w:val="both"/>
        <w:rPr>
          <w:rFonts w:hint="default" w:ascii="仿宋_GB2312" w:hAnsi="仿宋_GB2312" w:eastAsia="仿宋_GB2312" w:cs="仿宋_GB2312"/>
          <w:color w:val="auto"/>
          <w:spacing w:val="0"/>
          <w:kern w:val="44"/>
          <w:sz w:val="30"/>
          <w:szCs w:val="30"/>
          <w:highlight w:val="none"/>
        </w:rPr>
      </w:pPr>
      <w:r>
        <w:rPr>
          <w:rFonts w:hint="default" w:ascii="仿宋_GB2312" w:hAnsi="仿宋_GB2312" w:eastAsia="仿宋_GB2312" w:cs="仿宋_GB2312"/>
          <w:color w:val="auto"/>
          <w:spacing w:val="0"/>
          <w:kern w:val="44"/>
          <w:sz w:val="30"/>
          <w:szCs w:val="30"/>
          <w:highlight w:val="none"/>
        </w:rPr>
        <w:t>为保证广西农村信用社</w:t>
      </w:r>
      <w:r>
        <w:rPr>
          <w:rFonts w:hint="eastAsia" w:ascii="仿宋_GB2312" w:hAnsi="仿宋_GB2312" w:eastAsia="仿宋_GB2312" w:cs="仿宋_GB2312"/>
          <w:color w:val="auto"/>
          <w:spacing w:val="0"/>
          <w:kern w:val="44"/>
          <w:sz w:val="30"/>
          <w:szCs w:val="30"/>
          <w:highlight w:val="none"/>
          <w:lang w:val="en-US" w:eastAsia="zh-CN"/>
        </w:rPr>
        <w:t>采购、管理、使用网络学习平台培训服务</w:t>
      </w:r>
      <w:r>
        <w:rPr>
          <w:rFonts w:hint="default" w:ascii="仿宋_GB2312" w:hAnsi="仿宋_GB2312" w:eastAsia="仿宋_GB2312" w:cs="仿宋_GB2312"/>
          <w:color w:val="auto"/>
          <w:spacing w:val="0"/>
          <w:kern w:val="44"/>
          <w:sz w:val="30"/>
          <w:szCs w:val="30"/>
          <w:highlight w:val="none"/>
        </w:rPr>
        <w:t>工作</w:t>
      </w:r>
      <w:r>
        <w:rPr>
          <w:rFonts w:hint="eastAsia" w:ascii="仿宋_GB2312" w:hAnsi="仿宋_GB2312" w:eastAsia="仿宋_GB2312" w:cs="仿宋_GB2312"/>
          <w:color w:val="auto"/>
          <w:spacing w:val="0"/>
          <w:kern w:val="44"/>
          <w:sz w:val="30"/>
          <w:szCs w:val="30"/>
          <w:highlight w:val="none"/>
          <w:lang w:val="en-US" w:eastAsia="zh-CN"/>
        </w:rPr>
        <w:t>顺利有序</w:t>
      </w:r>
      <w:r>
        <w:rPr>
          <w:rFonts w:hint="default" w:ascii="仿宋_GB2312" w:hAnsi="仿宋_GB2312" w:eastAsia="仿宋_GB2312" w:cs="仿宋_GB2312"/>
          <w:color w:val="auto"/>
          <w:spacing w:val="0"/>
          <w:kern w:val="44"/>
          <w:sz w:val="30"/>
          <w:szCs w:val="30"/>
          <w:highlight w:val="none"/>
        </w:rPr>
        <w:t>进行，本人作为</w:t>
      </w:r>
      <w:r>
        <w:rPr>
          <w:rFonts w:hint="eastAsia" w:ascii="仿宋_GB2312" w:hAnsi="仿宋_GB2312" w:eastAsia="仿宋_GB2312" w:cs="仿宋_GB2312"/>
          <w:color w:val="auto"/>
          <w:spacing w:val="0"/>
          <w:kern w:val="44"/>
          <w:sz w:val="30"/>
          <w:szCs w:val="30"/>
          <w:highlight w:val="none"/>
          <w:lang w:val="en-US" w:eastAsia="zh-CN"/>
        </w:rPr>
        <w:t>本次网络学习平台培训服务</w:t>
      </w:r>
      <w:r>
        <w:rPr>
          <w:rFonts w:hint="default" w:ascii="仿宋_GB2312" w:hAnsi="仿宋_GB2312" w:eastAsia="仿宋_GB2312" w:cs="仿宋_GB2312"/>
          <w:color w:val="auto"/>
          <w:spacing w:val="0"/>
          <w:kern w:val="44"/>
          <w:sz w:val="30"/>
          <w:szCs w:val="30"/>
          <w:highlight w:val="none"/>
        </w:rPr>
        <w:t>工作的参与者，庄严作出以下保密承诺：</w:t>
      </w:r>
    </w:p>
    <w:p>
      <w:pPr>
        <w:pStyle w:val="2"/>
        <w:spacing w:before="0" w:after="0"/>
        <w:ind w:firstLine="600" w:firstLineChars="200"/>
        <w:jc w:val="both"/>
        <w:rPr>
          <w:rFonts w:hint="default" w:ascii="仿宋_GB2312" w:hAnsi="仿宋_GB2312" w:eastAsia="仿宋_GB2312" w:cs="仿宋_GB2312"/>
          <w:color w:val="auto"/>
          <w:spacing w:val="0"/>
          <w:kern w:val="44"/>
          <w:sz w:val="30"/>
          <w:szCs w:val="30"/>
          <w:highlight w:val="none"/>
        </w:rPr>
      </w:pPr>
      <w:r>
        <w:rPr>
          <w:rFonts w:hint="default" w:ascii="仿宋_GB2312" w:hAnsi="仿宋_GB2312" w:eastAsia="仿宋_GB2312" w:cs="仿宋_GB2312"/>
          <w:color w:val="auto"/>
          <w:spacing w:val="0"/>
          <w:kern w:val="44"/>
          <w:sz w:val="30"/>
          <w:szCs w:val="30"/>
          <w:highlight w:val="none"/>
        </w:rPr>
        <w:t>一、认真遵守国家保密法律、法规，自觉履行保密义务。</w:t>
      </w:r>
    </w:p>
    <w:p>
      <w:pPr>
        <w:pStyle w:val="2"/>
        <w:spacing w:before="0" w:after="0"/>
        <w:ind w:firstLine="600" w:firstLineChars="200"/>
        <w:jc w:val="both"/>
        <w:rPr>
          <w:rFonts w:hint="default" w:ascii="仿宋_GB2312" w:hAnsi="仿宋_GB2312" w:eastAsia="仿宋_GB2312" w:cs="仿宋_GB2312"/>
          <w:color w:val="auto"/>
          <w:spacing w:val="0"/>
          <w:kern w:val="44"/>
          <w:sz w:val="30"/>
          <w:szCs w:val="30"/>
          <w:highlight w:val="none"/>
        </w:rPr>
      </w:pPr>
      <w:r>
        <w:rPr>
          <w:rFonts w:hint="default" w:ascii="仿宋_GB2312" w:hAnsi="仿宋_GB2312" w:eastAsia="仿宋_GB2312" w:cs="仿宋_GB2312"/>
          <w:color w:val="auto"/>
          <w:spacing w:val="0"/>
          <w:kern w:val="44"/>
          <w:sz w:val="30"/>
          <w:szCs w:val="30"/>
          <w:highlight w:val="none"/>
        </w:rPr>
        <w:t xml:space="preserve">二、严格保守广西农村信用社相关信息，不将工作情况和工作内容、资料通过任何形式向任何人员透露。 </w:t>
      </w:r>
    </w:p>
    <w:p>
      <w:pPr>
        <w:pStyle w:val="2"/>
        <w:spacing w:before="0" w:after="0"/>
        <w:ind w:firstLine="600" w:firstLineChars="200"/>
        <w:jc w:val="both"/>
        <w:rPr>
          <w:rFonts w:hint="default" w:ascii="仿宋_GB2312" w:hAnsi="仿宋_GB2312" w:eastAsia="仿宋_GB2312" w:cs="仿宋_GB2312"/>
          <w:color w:val="auto"/>
          <w:spacing w:val="0"/>
          <w:kern w:val="44"/>
          <w:sz w:val="30"/>
          <w:szCs w:val="30"/>
          <w:highlight w:val="none"/>
        </w:rPr>
      </w:pPr>
      <w:r>
        <w:rPr>
          <w:rFonts w:hint="default" w:ascii="仿宋_GB2312" w:hAnsi="仿宋_GB2312" w:eastAsia="仿宋_GB2312" w:cs="仿宋_GB2312"/>
          <w:color w:val="auto"/>
          <w:spacing w:val="0"/>
          <w:kern w:val="44"/>
          <w:sz w:val="30"/>
          <w:szCs w:val="30"/>
          <w:highlight w:val="none"/>
        </w:rPr>
        <w:t>三、妥善保管工作相关材料，确保不泄密，严格保守，保证保密信息不被披露或使用，包括意外或过失。</w:t>
      </w:r>
    </w:p>
    <w:p>
      <w:pPr>
        <w:pStyle w:val="2"/>
        <w:spacing w:before="0" w:after="0"/>
        <w:ind w:firstLine="600" w:firstLineChars="200"/>
        <w:jc w:val="both"/>
        <w:rPr>
          <w:rFonts w:hint="default" w:ascii="仿宋_GB2312" w:hAnsi="仿宋_GB2312" w:eastAsia="仿宋_GB2312" w:cs="仿宋_GB2312"/>
          <w:color w:val="auto"/>
          <w:spacing w:val="0"/>
          <w:kern w:val="44"/>
          <w:sz w:val="30"/>
          <w:szCs w:val="30"/>
          <w:highlight w:val="none"/>
        </w:rPr>
      </w:pPr>
      <w:r>
        <w:rPr>
          <w:rFonts w:hint="default" w:ascii="仿宋_GB2312" w:hAnsi="仿宋_GB2312" w:eastAsia="仿宋_GB2312" w:cs="仿宋_GB2312"/>
          <w:color w:val="auto"/>
          <w:spacing w:val="0"/>
          <w:kern w:val="44"/>
          <w:sz w:val="30"/>
          <w:szCs w:val="30"/>
          <w:highlight w:val="none"/>
        </w:rPr>
        <w:t>四、遵守本次</w:t>
      </w:r>
      <w:r>
        <w:rPr>
          <w:rFonts w:hint="eastAsia" w:ascii="仿宋_GB2312" w:hAnsi="仿宋_GB2312" w:eastAsia="仿宋_GB2312" w:cs="仿宋_GB2312"/>
          <w:color w:val="auto"/>
          <w:spacing w:val="0"/>
          <w:kern w:val="44"/>
          <w:sz w:val="30"/>
          <w:szCs w:val="30"/>
          <w:highlight w:val="none"/>
          <w:lang w:val="en-US" w:eastAsia="zh-CN"/>
        </w:rPr>
        <w:t>网络学习平台培训服务</w:t>
      </w:r>
      <w:r>
        <w:rPr>
          <w:rFonts w:hint="default" w:ascii="仿宋_GB2312" w:hAnsi="仿宋_GB2312" w:eastAsia="仿宋_GB2312" w:cs="仿宋_GB2312"/>
          <w:color w:val="auto"/>
          <w:spacing w:val="0"/>
          <w:kern w:val="44"/>
          <w:sz w:val="30"/>
          <w:szCs w:val="30"/>
          <w:highlight w:val="none"/>
        </w:rPr>
        <w:t>的其他保密要求。</w:t>
      </w:r>
    </w:p>
    <w:p>
      <w:pPr>
        <w:pStyle w:val="2"/>
        <w:spacing w:before="0" w:after="0"/>
        <w:ind w:firstLine="600" w:firstLineChars="200"/>
        <w:jc w:val="both"/>
        <w:rPr>
          <w:rFonts w:hint="default" w:ascii="仿宋_GB2312" w:hAnsi="仿宋_GB2312" w:eastAsia="仿宋_GB2312" w:cs="仿宋_GB2312"/>
          <w:color w:val="auto"/>
          <w:spacing w:val="0"/>
          <w:kern w:val="44"/>
          <w:sz w:val="30"/>
          <w:szCs w:val="30"/>
          <w:highlight w:val="none"/>
        </w:rPr>
      </w:pPr>
      <w:r>
        <w:rPr>
          <w:rFonts w:hint="default" w:ascii="仿宋_GB2312" w:hAnsi="仿宋_GB2312" w:eastAsia="仿宋_GB2312" w:cs="仿宋_GB2312"/>
          <w:color w:val="auto"/>
          <w:spacing w:val="0"/>
          <w:kern w:val="44"/>
          <w:sz w:val="30"/>
          <w:szCs w:val="30"/>
          <w:highlight w:val="none"/>
        </w:rPr>
        <w:t>如违反上述承诺，本人自愿承担相关责任和法律后果。</w:t>
      </w:r>
    </w:p>
    <w:p>
      <w:pPr>
        <w:pStyle w:val="2"/>
        <w:jc w:val="both"/>
        <w:rPr>
          <w:rFonts w:hint="default" w:ascii="仿宋_GB2312" w:hAnsi="仿宋_GB2312" w:eastAsia="仿宋_GB2312" w:cs="仿宋_GB2312"/>
          <w:color w:val="auto"/>
          <w:spacing w:val="0"/>
          <w:kern w:val="44"/>
          <w:sz w:val="30"/>
          <w:szCs w:val="30"/>
          <w:highlight w:val="none"/>
        </w:rPr>
      </w:pPr>
    </w:p>
    <w:p>
      <w:pPr>
        <w:pStyle w:val="2"/>
        <w:jc w:val="both"/>
        <w:rPr>
          <w:rFonts w:hint="default" w:ascii="仿宋_GB2312" w:hAnsi="仿宋_GB2312" w:eastAsia="仿宋_GB2312" w:cs="仿宋_GB2312"/>
          <w:color w:val="auto"/>
          <w:spacing w:val="0"/>
          <w:kern w:val="44"/>
          <w:sz w:val="30"/>
          <w:szCs w:val="30"/>
          <w:highlight w:val="none"/>
        </w:rPr>
      </w:pPr>
    </w:p>
    <w:p>
      <w:pPr>
        <w:pStyle w:val="2"/>
        <w:wordWrap w:val="0"/>
        <w:jc w:val="right"/>
        <w:rPr>
          <w:rFonts w:hint="default" w:ascii="仿宋_GB2312" w:hAnsi="仿宋_GB2312" w:eastAsia="仿宋_GB2312" w:cs="仿宋_GB2312"/>
          <w:color w:val="auto"/>
          <w:spacing w:val="0"/>
          <w:kern w:val="44"/>
          <w:sz w:val="30"/>
          <w:szCs w:val="30"/>
          <w:highlight w:val="none"/>
        </w:rPr>
      </w:pPr>
      <w:r>
        <w:rPr>
          <w:rFonts w:hint="default" w:ascii="仿宋_GB2312" w:hAnsi="仿宋_GB2312" w:eastAsia="仿宋_GB2312" w:cs="仿宋_GB2312"/>
          <w:color w:val="auto"/>
          <w:spacing w:val="0"/>
          <w:kern w:val="44"/>
          <w:sz w:val="30"/>
          <w:szCs w:val="30"/>
          <w:highlight w:val="none"/>
        </w:rPr>
        <w:t>承诺人签名：</w:t>
      </w:r>
      <w:r>
        <w:rPr>
          <w:rFonts w:hint="eastAsia" w:ascii="仿宋_GB2312" w:hAnsi="仿宋_GB2312" w:eastAsia="仿宋_GB2312" w:cs="仿宋_GB2312"/>
          <w:color w:val="auto"/>
          <w:spacing w:val="0"/>
          <w:kern w:val="44"/>
          <w:sz w:val="30"/>
          <w:szCs w:val="30"/>
          <w:highlight w:val="none"/>
          <w:lang w:val="en-US" w:eastAsia="zh-CN"/>
        </w:rPr>
        <w:t xml:space="preserve">             </w:t>
      </w:r>
    </w:p>
    <w:p>
      <w:pPr>
        <w:pStyle w:val="2"/>
        <w:jc w:val="right"/>
        <w:rPr>
          <w:rFonts w:hint="default" w:ascii="仿宋_GB2312" w:hAnsi="仿宋_GB2312" w:eastAsia="仿宋_GB2312" w:cs="仿宋_GB2312"/>
          <w:color w:val="auto"/>
          <w:spacing w:val="0"/>
          <w:kern w:val="44"/>
          <w:sz w:val="30"/>
          <w:szCs w:val="30"/>
          <w:highlight w:val="none"/>
        </w:rPr>
      </w:pPr>
    </w:p>
    <w:p>
      <w:pPr>
        <w:pStyle w:val="2"/>
        <w:wordWrap w:val="0"/>
        <w:jc w:val="right"/>
        <w:rPr>
          <w:rFonts w:hint="default" w:ascii="仿宋_GB2312" w:hAnsi="仿宋_GB2312" w:eastAsia="仿宋_GB2312" w:cs="仿宋_GB2312"/>
          <w:color w:val="auto"/>
          <w:spacing w:val="0"/>
          <w:kern w:val="44"/>
          <w:sz w:val="30"/>
          <w:szCs w:val="30"/>
          <w:highlight w:val="none"/>
        </w:rPr>
      </w:pPr>
      <w:r>
        <w:rPr>
          <w:rFonts w:hint="default" w:ascii="仿宋_GB2312" w:hAnsi="仿宋_GB2312" w:eastAsia="仿宋_GB2312" w:cs="仿宋_GB2312"/>
          <w:color w:val="auto"/>
          <w:spacing w:val="0"/>
          <w:kern w:val="44"/>
          <w:sz w:val="30"/>
          <w:szCs w:val="30"/>
          <w:highlight w:val="none"/>
        </w:rPr>
        <w:t>年    月    日</w:t>
      </w:r>
      <w:r>
        <w:rPr>
          <w:rFonts w:hint="eastAsia" w:ascii="仿宋_GB2312" w:hAnsi="仿宋_GB2312" w:eastAsia="仿宋_GB2312" w:cs="仿宋_GB2312"/>
          <w:color w:val="auto"/>
          <w:spacing w:val="0"/>
          <w:kern w:val="44"/>
          <w:sz w:val="30"/>
          <w:szCs w:val="30"/>
          <w:highlight w:val="none"/>
          <w:lang w:val="en-US" w:eastAsia="zh-CN"/>
        </w:rPr>
        <w:t xml:space="preserve">     </w:t>
      </w:r>
    </w:p>
    <w:p>
      <w:pPr>
        <w:pStyle w:val="2"/>
        <w:jc w:val="both"/>
        <w:rPr>
          <w:rFonts w:hint="default" w:ascii="仿宋_GB2312" w:hAnsi="仿宋_GB2312" w:eastAsia="仿宋_GB2312" w:cs="仿宋_GB2312"/>
          <w:color w:val="auto"/>
          <w:spacing w:val="0"/>
          <w:kern w:val="44"/>
          <w:sz w:val="30"/>
          <w:szCs w:val="30"/>
          <w:highlight w:val="none"/>
          <w:lang w:val="en-US" w:eastAsia="zh-CN"/>
        </w:rPr>
      </w:pPr>
    </w:p>
    <w:sectPr>
      <w:pgSz w:w="11906" w:h="16838"/>
      <w:pgMar w:top="1440" w:right="1401" w:bottom="1440" w:left="1685"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A00002BF" w:usb1="38CF7CFA" w:usb2="00000016" w:usb3="00000000" w:csb0="0004000F"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439"/>
        <w:tab w:val="clear" w:pos="4153"/>
      </w:tabs>
      <w:jc w:val="both"/>
    </w:pP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33985" cy="153035"/>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wps:spPr>
                    <wps:txbx>
                      <w:txbxContent>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2.05pt;width:10.55pt;mso-position-horizontal:center;mso-position-horizontal-relative:margin;mso-wrap-style:none;z-index:251661312;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B7XTPQ&#10;AAAAAwEAAA8AAAAAAAAAAQAgAAAAIgAAAGRycy9kb3ducmV2LnhtbFBLAQIUABQAAAAIAIdO4kBU&#10;BvaJtgEAAEwDAAAOAAAAAAAAAAEAIAAAAB8BAABkcnMvZTJvRG9jLnhtbFBLBQYAAAAABgAGAFkB&#10;AABHBQ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439"/>
        <w:tab w:val="clear" w:pos="4153"/>
      </w:tabs>
      <w:jc w:val="both"/>
    </w:pPr>
  </w:p>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53035"/>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wps:spPr>
                    <wps:txbx>
                      <w:txbxContent>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2.05pt;width:10.55pt;mso-position-horizontal:center;mso-position-horizontal-relative:margin;mso-wrap-style:none;z-index:251660288;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HtdM9AA&#10;AAADAQAADwAAAAAAAAABACAAAAAiAAAAZHJzL2Rvd25yZXYueG1sUEsBAhQAFAAAAAgAh07iQDyU&#10;smm1AQAATAMAAA4AAAAAAAAAAQAgAAAAHwEAAGRycy9lMm9Eb2MueG1sUEsFBgAAAAAGAAYAWQEA&#10;AEYFAAAAAA==&#10;">
              <v:fill on="f" focussize="0,0"/>
              <v:stroke on="f"/>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20"/>
                            <w:jc w:val="center"/>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文本框 5121"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lfknQ&#10;AAAAAwEAAA8AAAAAAAAAAQAgAAAAIgAAAGRycy9kb3ducmV2LnhtbFBLAQIUABQAAAAIAIdO4kAV&#10;SxPotgEAAEwDAAAOAAAAAAAAAAEAIAAAAB8BAABkcnMvZTJvRG9jLnhtbFBLBQYAAAAABgAGAFkB&#10;AABHBQAAAAA=&#10;">
              <v:fill on="f" focussize="0,0"/>
              <v:stroke on="f"/>
              <v:imagedata o:title=""/>
              <o:lock v:ext="edit" aspectratio="f"/>
              <v:textbox inset="0mm,0mm,0mm,0mm" style="mso-fit-shape-to-text:t;">
                <w:txbxContent>
                  <w:p>
                    <w:pPr>
                      <w:pStyle w:val="20"/>
                      <w:jc w:val="center"/>
                    </w:pPr>
                    <w:r>
                      <w:fldChar w:fldCharType="begin"/>
                    </w:r>
                    <w:r>
                      <w:instrText xml:space="preserve"> PAGE  \* MERGEFORMAT </w:instrText>
                    </w:r>
                    <w:r>
                      <w:fldChar w:fldCharType="separate"/>
                    </w:r>
                    <w:r>
                      <w:t>46</w:t>
                    </w:r>
                    <w:r>
                      <w:fldChar w:fldCharType="end"/>
                    </w:r>
                  </w:p>
                </w:txbxContent>
              </v:textbox>
            </v:shape>
          </w:pict>
        </mc:Fallback>
      </mc:AlternateContent>
    </w:r>
  </w:p>
  <w:p>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V+SdAA&#10;AAADAQAADwAAAAAAAAABACAAAAAiAAAAZHJzL2Rvd25yZXYueG1sUEsBAhQAFAAAAAgAh07iQDuE&#10;AS61AQAATAMAAA4AAAAAAAAAAQAgAAAAHwEAAGRycy9lMm9Eb2MueG1sUEsFBgAAAAAGAAYAWQEA&#10;AEYFAAAAAA==&#10;">
              <v:fill on="f" focussize="0,0"/>
              <v:stroke on="f"/>
              <v:imagedata o:title=""/>
              <o:lock v:ext="edit" aspectratio="f"/>
              <v:textbox inset="0mm,0mm,0mm,0mm" style="mso-fit-shape-to-text:t;">
                <w:txbxContent>
                  <w:p>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984788"/>
    <w:multiLevelType w:val="singleLevel"/>
    <w:tmpl w:val="9E984788"/>
    <w:lvl w:ilvl="0" w:tentative="0">
      <w:start w:val="1"/>
      <w:numFmt w:val="decimal"/>
      <w:suff w:val="nothing"/>
      <w:lvlText w:val="（%1）"/>
      <w:lvlJc w:val="left"/>
    </w:lvl>
  </w:abstractNum>
  <w:abstractNum w:abstractNumId="1">
    <w:nsid w:val="5F3356C4"/>
    <w:multiLevelType w:val="singleLevel"/>
    <w:tmpl w:val="5F3356C4"/>
    <w:lvl w:ilvl="0" w:tentative="0">
      <w:start w:val="1"/>
      <w:numFmt w:val="decimal"/>
      <w:suff w:val="nothing"/>
      <w:lvlText w:val="（%1）"/>
      <w:lvlJc w:val="left"/>
    </w:lvl>
  </w:abstractNum>
  <w:abstractNum w:abstractNumId="2">
    <w:nsid w:val="5F3356DB"/>
    <w:multiLevelType w:val="singleLevel"/>
    <w:tmpl w:val="5F3356DB"/>
    <w:lvl w:ilvl="0" w:tentative="0">
      <w:start w:val="2"/>
      <w:numFmt w:val="decimal"/>
      <w:suff w:val="nothing"/>
      <w:lvlText w:val="（%1）"/>
      <w:lvlJc w:val="left"/>
    </w:lvl>
  </w:abstractNum>
  <w:abstractNum w:abstractNumId="3">
    <w:nsid w:val="5F3356E9"/>
    <w:multiLevelType w:val="singleLevel"/>
    <w:tmpl w:val="5F3356E9"/>
    <w:lvl w:ilvl="0" w:tentative="0">
      <w:start w:val="3"/>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MmEyNDViNWNkM2E4MDM3ZWUxY2QxMTdmMjBkOWIifQ=="/>
  </w:docVars>
  <w:rsids>
    <w:rsidRoot w:val="00F34B14"/>
    <w:rsid w:val="00000672"/>
    <w:rsid w:val="00001013"/>
    <w:rsid w:val="00001799"/>
    <w:rsid w:val="00001AF2"/>
    <w:rsid w:val="00001ECA"/>
    <w:rsid w:val="00002D29"/>
    <w:rsid w:val="00003B93"/>
    <w:rsid w:val="0000474D"/>
    <w:rsid w:val="00005FDF"/>
    <w:rsid w:val="000070B3"/>
    <w:rsid w:val="000076B8"/>
    <w:rsid w:val="000109DC"/>
    <w:rsid w:val="00010D39"/>
    <w:rsid w:val="0001172C"/>
    <w:rsid w:val="00011BC9"/>
    <w:rsid w:val="00012854"/>
    <w:rsid w:val="00012EA6"/>
    <w:rsid w:val="00013359"/>
    <w:rsid w:val="000139CF"/>
    <w:rsid w:val="00013AA4"/>
    <w:rsid w:val="00013DFE"/>
    <w:rsid w:val="000141EA"/>
    <w:rsid w:val="00016ABC"/>
    <w:rsid w:val="000177DB"/>
    <w:rsid w:val="000179C9"/>
    <w:rsid w:val="00017CCC"/>
    <w:rsid w:val="00020227"/>
    <w:rsid w:val="00020263"/>
    <w:rsid w:val="00020455"/>
    <w:rsid w:val="00020813"/>
    <w:rsid w:val="000220B2"/>
    <w:rsid w:val="0002264C"/>
    <w:rsid w:val="00022731"/>
    <w:rsid w:val="00022792"/>
    <w:rsid w:val="00024463"/>
    <w:rsid w:val="00025461"/>
    <w:rsid w:val="00025636"/>
    <w:rsid w:val="00025E36"/>
    <w:rsid w:val="00026855"/>
    <w:rsid w:val="00026886"/>
    <w:rsid w:val="0002785D"/>
    <w:rsid w:val="000307BE"/>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2AF"/>
    <w:rsid w:val="00051ACB"/>
    <w:rsid w:val="000533E7"/>
    <w:rsid w:val="00055D41"/>
    <w:rsid w:val="00056EF6"/>
    <w:rsid w:val="00057CD6"/>
    <w:rsid w:val="00060DCE"/>
    <w:rsid w:val="000610E3"/>
    <w:rsid w:val="000614F3"/>
    <w:rsid w:val="000623B4"/>
    <w:rsid w:val="00062405"/>
    <w:rsid w:val="000634A7"/>
    <w:rsid w:val="00063B0B"/>
    <w:rsid w:val="00063F81"/>
    <w:rsid w:val="00064847"/>
    <w:rsid w:val="00065E08"/>
    <w:rsid w:val="000673E2"/>
    <w:rsid w:val="0007027E"/>
    <w:rsid w:val="0007063F"/>
    <w:rsid w:val="000707FD"/>
    <w:rsid w:val="00070949"/>
    <w:rsid w:val="000711E4"/>
    <w:rsid w:val="000720A1"/>
    <w:rsid w:val="000724D9"/>
    <w:rsid w:val="00072AED"/>
    <w:rsid w:val="00073F47"/>
    <w:rsid w:val="0007492F"/>
    <w:rsid w:val="00074ED8"/>
    <w:rsid w:val="00075B7E"/>
    <w:rsid w:val="00077ACA"/>
    <w:rsid w:val="00077C70"/>
    <w:rsid w:val="000813B5"/>
    <w:rsid w:val="0008191E"/>
    <w:rsid w:val="00081BA3"/>
    <w:rsid w:val="00081D2E"/>
    <w:rsid w:val="00081F89"/>
    <w:rsid w:val="00082619"/>
    <w:rsid w:val="00082D02"/>
    <w:rsid w:val="00083871"/>
    <w:rsid w:val="00083B91"/>
    <w:rsid w:val="0008473C"/>
    <w:rsid w:val="0008520B"/>
    <w:rsid w:val="000857DE"/>
    <w:rsid w:val="000860BD"/>
    <w:rsid w:val="000871B8"/>
    <w:rsid w:val="00087B0A"/>
    <w:rsid w:val="0009084B"/>
    <w:rsid w:val="000916DA"/>
    <w:rsid w:val="00092442"/>
    <w:rsid w:val="000929EF"/>
    <w:rsid w:val="00092C26"/>
    <w:rsid w:val="000933BE"/>
    <w:rsid w:val="0009560F"/>
    <w:rsid w:val="0009588E"/>
    <w:rsid w:val="000959EE"/>
    <w:rsid w:val="00096DB9"/>
    <w:rsid w:val="00097183"/>
    <w:rsid w:val="000972CB"/>
    <w:rsid w:val="00097608"/>
    <w:rsid w:val="000A1175"/>
    <w:rsid w:val="000A13F3"/>
    <w:rsid w:val="000A23B1"/>
    <w:rsid w:val="000A2B0E"/>
    <w:rsid w:val="000A398F"/>
    <w:rsid w:val="000A3D32"/>
    <w:rsid w:val="000A448C"/>
    <w:rsid w:val="000A509C"/>
    <w:rsid w:val="000A54A7"/>
    <w:rsid w:val="000A5712"/>
    <w:rsid w:val="000A6007"/>
    <w:rsid w:val="000A65A6"/>
    <w:rsid w:val="000A70E3"/>
    <w:rsid w:val="000A7275"/>
    <w:rsid w:val="000A7A12"/>
    <w:rsid w:val="000A7A72"/>
    <w:rsid w:val="000B1202"/>
    <w:rsid w:val="000B1801"/>
    <w:rsid w:val="000B1D0C"/>
    <w:rsid w:val="000B2273"/>
    <w:rsid w:val="000B2BC6"/>
    <w:rsid w:val="000B2D03"/>
    <w:rsid w:val="000B37F2"/>
    <w:rsid w:val="000B3815"/>
    <w:rsid w:val="000B3C7B"/>
    <w:rsid w:val="000B4321"/>
    <w:rsid w:val="000B6A6B"/>
    <w:rsid w:val="000B6C95"/>
    <w:rsid w:val="000B79FC"/>
    <w:rsid w:val="000C1679"/>
    <w:rsid w:val="000C1EE3"/>
    <w:rsid w:val="000C3AE7"/>
    <w:rsid w:val="000C3CC9"/>
    <w:rsid w:val="000C6DE4"/>
    <w:rsid w:val="000C7202"/>
    <w:rsid w:val="000D0A89"/>
    <w:rsid w:val="000D1389"/>
    <w:rsid w:val="000D1798"/>
    <w:rsid w:val="000D2626"/>
    <w:rsid w:val="000D411D"/>
    <w:rsid w:val="000D4589"/>
    <w:rsid w:val="000D4809"/>
    <w:rsid w:val="000D73DD"/>
    <w:rsid w:val="000E1961"/>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1D1B"/>
    <w:rsid w:val="00102676"/>
    <w:rsid w:val="00102691"/>
    <w:rsid w:val="00103646"/>
    <w:rsid w:val="00103918"/>
    <w:rsid w:val="00104897"/>
    <w:rsid w:val="00104EDE"/>
    <w:rsid w:val="00105CDA"/>
    <w:rsid w:val="00106BEE"/>
    <w:rsid w:val="0010711C"/>
    <w:rsid w:val="00107BDF"/>
    <w:rsid w:val="00107C74"/>
    <w:rsid w:val="0011091C"/>
    <w:rsid w:val="00111266"/>
    <w:rsid w:val="001112EB"/>
    <w:rsid w:val="0011247D"/>
    <w:rsid w:val="00113678"/>
    <w:rsid w:val="00113A7D"/>
    <w:rsid w:val="00113C3E"/>
    <w:rsid w:val="00115E11"/>
    <w:rsid w:val="00115EEE"/>
    <w:rsid w:val="00115F56"/>
    <w:rsid w:val="00116CA9"/>
    <w:rsid w:val="00116F38"/>
    <w:rsid w:val="001170A4"/>
    <w:rsid w:val="00117AE7"/>
    <w:rsid w:val="00117B85"/>
    <w:rsid w:val="00117CBD"/>
    <w:rsid w:val="0012006A"/>
    <w:rsid w:val="00121979"/>
    <w:rsid w:val="00122064"/>
    <w:rsid w:val="00122663"/>
    <w:rsid w:val="00124341"/>
    <w:rsid w:val="00124492"/>
    <w:rsid w:val="00124B12"/>
    <w:rsid w:val="001250A0"/>
    <w:rsid w:val="001263B8"/>
    <w:rsid w:val="00127111"/>
    <w:rsid w:val="00130217"/>
    <w:rsid w:val="00130783"/>
    <w:rsid w:val="00130A47"/>
    <w:rsid w:val="00132B47"/>
    <w:rsid w:val="001337F8"/>
    <w:rsid w:val="001348B4"/>
    <w:rsid w:val="00134D1E"/>
    <w:rsid w:val="001351CB"/>
    <w:rsid w:val="00135530"/>
    <w:rsid w:val="00135947"/>
    <w:rsid w:val="001359A2"/>
    <w:rsid w:val="00135F92"/>
    <w:rsid w:val="00136020"/>
    <w:rsid w:val="0013641C"/>
    <w:rsid w:val="00136445"/>
    <w:rsid w:val="00137389"/>
    <w:rsid w:val="00140132"/>
    <w:rsid w:val="00141C9C"/>
    <w:rsid w:val="0014277F"/>
    <w:rsid w:val="001434BE"/>
    <w:rsid w:val="00143AAD"/>
    <w:rsid w:val="00144050"/>
    <w:rsid w:val="00144369"/>
    <w:rsid w:val="0014479F"/>
    <w:rsid w:val="001452B4"/>
    <w:rsid w:val="00145320"/>
    <w:rsid w:val="001476D3"/>
    <w:rsid w:val="001509CF"/>
    <w:rsid w:val="00150D1D"/>
    <w:rsid w:val="001525AA"/>
    <w:rsid w:val="00152A87"/>
    <w:rsid w:val="00152AC1"/>
    <w:rsid w:val="00153BB5"/>
    <w:rsid w:val="00154518"/>
    <w:rsid w:val="00156359"/>
    <w:rsid w:val="00156DD6"/>
    <w:rsid w:val="0016086E"/>
    <w:rsid w:val="00160D0C"/>
    <w:rsid w:val="00160DD1"/>
    <w:rsid w:val="00161172"/>
    <w:rsid w:val="00161998"/>
    <w:rsid w:val="00161E65"/>
    <w:rsid w:val="00162597"/>
    <w:rsid w:val="001629AF"/>
    <w:rsid w:val="001629FD"/>
    <w:rsid w:val="0016428A"/>
    <w:rsid w:val="001647C9"/>
    <w:rsid w:val="00165627"/>
    <w:rsid w:val="00165803"/>
    <w:rsid w:val="001661A3"/>
    <w:rsid w:val="00167226"/>
    <w:rsid w:val="0016782B"/>
    <w:rsid w:val="0016784D"/>
    <w:rsid w:val="00167853"/>
    <w:rsid w:val="00167887"/>
    <w:rsid w:val="00172CA8"/>
    <w:rsid w:val="00173256"/>
    <w:rsid w:val="00173B0E"/>
    <w:rsid w:val="00173E03"/>
    <w:rsid w:val="0017512C"/>
    <w:rsid w:val="001756AF"/>
    <w:rsid w:val="0017586A"/>
    <w:rsid w:val="00175BA6"/>
    <w:rsid w:val="00176CA7"/>
    <w:rsid w:val="00176D0C"/>
    <w:rsid w:val="00176F8E"/>
    <w:rsid w:val="001778C5"/>
    <w:rsid w:val="00177E56"/>
    <w:rsid w:val="00177F0A"/>
    <w:rsid w:val="00180DA0"/>
    <w:rsid w:val="00181EAD"/>
    <w:rsid w:val="00182862"/>
    <w:rsid w:val="00184F57"/>
    <w:rsid w:val="00185091"/>
    <w:rsid w:val="00185544"/>
    <w:rsid w:val="00185617"/>
    <w:rsid w:val="00185980"/>
    <w:rsid w:val="00186FE1"/>
    <w:rsid w:val="00187A14"/>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4222"/>
    <w:rsid w:val="001A50EA"/>
    <w:rsid w:val="001A5E24"/>
    <w:rsid w:val="001A6795"/>
    <w:rsid w:val="001A6B27"/>
    <w:rsid w:val="001A6D8B"/>
    <w:rsid w:val="001A6DAA"/>
    <w:rsid w:val="001A7717"/>
    <w:rsid w:val="001A793A"/>
    <w:rsid w:val="001B125A"/>
    <w:rsid w:val="001B1AFB"/>
    <w:rsid w:val="001B1EBA"/>
    <w:rsid w:val="001B2142"/>
    <w:rsid w:val="001B2F2B"/>
    <w:rsid w:val="001B327A"/>
    <w:rsid w:val="001B35DE"/>
    <w:rsid w:val="001B3A13"/>
    <w:rsid w:val="001B3F5C"/>
    <w:rsid w:val="001B57C9"/>
    <w:rsid w:val="001B59FF"/>
    <w:rsid w:val="001B6512"/>
    <w:rsid w:val="001B65D7"/>
    <w:rsid w:val="001B6752"/>
    <w:rsid w:val="001B6768"/>
    <w:rsid w:val="001B6F1F"/>
    <w:rsid w:val="001B7ECC"/>
    <w:rsid w:val="001C025B"/>
    <w:rsid w:val="001C115F"/>
    <w:rsid w:val="001C1EAB"/>
    <w:rsid w:val="001C25A7"/>
    <w:rsid w:val="001C318C"/>
    <w:rsid w:val="001C35C4"/>
    <w:rsid w:val="001C4287"/>
    <w:rsid w:val="001C4479"/>
    <w:rsid w:val="001C5190"/>
    <w:rsid w:val="001C6081"/>
    <w:rsid w:val="001C73EB"/>
    <w:rsid w:val="001C7B48"/>
    <w:rsid w:val="001D0CFB"/>
    <w:rsid w:val="001D1A0D"/>
    <w:rsid w:val="001D2A85"/>
    <w:rsid w:val="001D343C"/>
    <w:rsid w:val="001D58A1"/>
    <w:rsid w:val="001D58C2"/>
    <w:rsid w:val="001D5A8A"/>
    <w:rsid w:val="001D61CA"/>
    <w:rsid w:val="001D6E87"/>
    <w:rsid w:val="001D735E"/>
    <w:rsid w:val="001D73C8"/>
    <w:rsid w:val="001D7BC6"/>
    <w:rsid w:val="001E129E"/>
    <w:rsid w:val="001E175C"/>
    <w:rsid w:val="001E1B0E"/>
    <w:rsid w:val="001E3B63"/>
    <w:rsid w:val="001E5A94"/>
    <w:rsid w:val="001F2A2E"/>
    <w:rsid w:val="001F3356"/>
    <w:rsid w:val="001F3C63"/>
    <w:rsid w:val="001F4460"/>
    <w:rsid w:val="001F711A"/>
    <w:rsid w:val="001F75B0"/>
    <w:rsid w:val="0020057C"/>
    <w:rsid w:val="00200CE5"/>
    <w:rsid w:val="00200F7C"/>
    <w:rsid w:val="002014DB"/>
    <w:rsid w:val="0020150B"/>
    <w:rsid w:val="00201E12"/>
    <w:rsid w:val="00202295"/>
    <w:rsid w:val="00202B2C"/>
    <w:rsid w:val="002033B5"/>
    <w:rsid w:val="0020382C"/>
    <w:rsid w:val="0020437A"/>
    <w:rsid w:val="0020454C"/>
    <w:rsid w:val="00204740"/>
    <w:rsid w:val="00205129"/>
    <w:rsid w:val="0020521F"/>
    <w:rsid w:val="0020532C"/>
    <w:rsid w:val="002114C7"/>
    <w:rsid w:val="0021302C"/>
    <w:rsid w:val="00213B1C"/>
    <w:rsid w:val="00213F1E"/>
    <w:rsid w:val="00214202"/>
    <w:rsid w:val="002148E3"/>
    <w:rsid w:val="0021552D"/>
    <w:rsid w:val="002156AE"/>
    <w:rsid w:val="00215E99"/>
    <w:rsid w:val="0022054D"/>
    <w:rsid w:val="0022107B"/>
    <w:rsid w:val="00223DDB"/>
    <w:rsid w:val="00223FA4"/>
    <w:rsid w:val="00223FB0"/>
    <w:rsid w:val="00224067"/>
    <w:rsid w:val="0022421C"/>
    <w:rsid w:val="00224C4A"/>
    <w:rsid w:val="00224E83"/>
    <w:rsid w:val="00225664"/>
    <w:rsid w:val="0022663D"/>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0D75"/>
    <w:rsid w:val="002415AE"/>
    <w:rsid w:val="00241D3C"/>
    <w:rsid w:val="00242109"/>
    <w:rsid w:val="00243189"/>
    <w:rsid w:val="002439AB"/>
    <w:rsid w:val="00243C19"/>
    <w:rsid w:val="00244AE8"/>
    <w:rsid w:val="00244DC9"/>
    <w:rsid w:val="00245587"/>
    <w:rsid w:val="002459B4"/>
    <w:rsid w:val="00245F2B"/>
    <w:rsid w:val="002466CD"/>
    <w:rsid w:val="00247F3A"/>
    <w:rsid w:val="00250122"/>
    <w:rsid w:val="00250755"/>
    <w:rsid w:val="00251043"/>
    <w:rsid w:val="00251C4A"/>
    <w:rsid w:val="0025271C"/>
    <w:rsid w:val="002533CD"/>
    <w:rsid w:val="002535EA"/>
    <w:rsid w:val="00254EAB"/>
    <w:rsid w:val="002557AF"/>
    <w:rsid w:val="0025589C"/>
    <w:rsid w:val="00255B62"/>
    <w:rsid w:val="002566B1"/>
    <w:rsid w:val="002575E3"/>
    <w:rsid w:val="00257A74"/>
    <w:rsid w:val="00257C5D"/>
    <w:rsid w:val="002603C1"/>
    <w:rsid w:val="002609A1"/>
    <w:rsid w:val="002612B1"/>
    <w:rsid w:val="00266165"/>
    <w:rsid w:val="00266F2C"/>
    <w:rsid w:val="0027125E"/>
    <w:rsid w:val="00271767"/>
    <w:rsid w:val="00272293"/>
    <w:rsid w:val="002723C8"/>
    <w:rsid w:val="00273C2A"/>
    <w:rsid w:val="00273CBE"/>
    <w:rsid w:val="002746B1"/>
    <w:rsid w:val="00274BAD"/>
    <w:rsid w:val="00282D56"/>
    <w:rsid w:val="0028352B"/>
    <w:rsid w:val="002835B0"/>
    <w:rsid w:val="00283C74"/>
    <w:rsid w:val="0028407E"/>
    <w:rsid w:val="0028410F"/>
    <w:rsid w:val="00284572"/>
    <w:rsid w:val="002850AA"/>
    <w:rsid w:val="00285221"/>
    <w:rsid w:val="00286FB5"/>
    <w:rsid w:val="00287763"/>
    <w:rsid w:val="00290606"/>
    <w:rsid w:val="002909B2"/>
    <w:rsid w:val="00291D6D"/>
    <w:rsid w:val="00291FF1"/>
    <w:rsid w:val="00292AA2"/>
    <w:rsid w:val="00293361"/>
    <w:rsid w:val="00294F10"/>
    <w:rsid w:val="002952B1"/>
    <w:rsid w:val="00295D11"/>
    <w:rsid w:val="00296FB6"/>
    <w:rsid w:val="002A0001"/>
    <w:rsid w:val="002A0BD9"/>
    <w:rsid w:val="002A0C3A"/>
    <w:rsid w:val="002A0DF8"/>
    <w:rsid w:val="002A1130"/>
    <w:rsid w:val="002A1880"/>
    <w:rsid w:val="002A23B7"/>
    <w:rsid w:val="002A3A57"/>
    <w:rsid w:val="002A4B4F"/>
    <w:rsid w:val="002A57A8"/>
    <w:rsid w:val="002A6DEF"/>
    <w:rsid w:val="002A770B"/>
    <w:rsid w:val="002B013E"/>
    <w:rsid w:val="002B058D"/>
    <w:rsid w:val="002B0C16"/>
    <w:rsid w:val="002B2AC5"/>
    <w:rsid w:val="002B3528"/>
    <w:rsid w:val="002B3539"/>
    <w:rsid w:val="002B4532"/>
    <w:rsid w:val="002B5042"/>
    <w:rsid w:val="002B69CC"/>
    <w:rsid w:val="002B6D71"/>
    <w:rsid w:val="002C03AE"/>
    <w:rsid w:val="002C0C1C"/>
    <w:rsid w:val="002C40E2"/>
    <w:rsid w:val="002C54C2"/>
    <w:rsid w:val="002C5D34"/>
    <w:rsid w:val="002C60BB"/>
    <w:rsid w:val="002C661A"/>
    <w:rsid w:val="002D0D6F"/>
    <w:rsid w:val="002D25FC"/>
    <w:rsid w:val="002D4AC6"/>
    <w:rsid w:val="002D5BF5"/>
    <w:rsid w:val="002D5EE8"/>
    <w:rsid w:val="002D7360"/>
    <w:rsid w:val="002D7648"/>
    <w:rsid w:val="002D7C80"/>
    <w:rsid w:val="002E109C"/>
    <w:rsid w:val="002E193E"/>
    <w:rsid w:val="002E1A94"/>
    <w:rsid w:val="002E1D55"/>
    <w:rsid w:val="002E26C4"/>
    <w:rsid w:val="002E2734"/>
    <w:rsid w:val="002E30A5"/>
    <w:rsid w:val="002E47E4"/>
    <w:rsid w:val="002E4BF9"/>
    <w:rsid w:val="002E4D61"/>
    <w:rsid w:val="002E68A7"/>
    <w:rsid w:val="002E6E6C"/>
    <w:rsid w:val="002F016E"/>
    <w:rsid w:val="002F0522"/>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2504"/>
    <w:rsid w:val="00312B89"/>
    <w:rsid w:val="00313026"/>
    <w:rsid w:val="00313913"/>
    <w:rsid w:val="0031421F"/>
    <w:rsid w:val="00314B31"/>
    <w:rsid w:val="00315A65"/>
    <w:rsid w:val="003165D7"/>
    <w:rsid w:val="00317BA7"/>
    <w:rsid w:val="00320BE2"/>
    <w:rsid w:val="00321886"/>
    <w:rsid w:val="00321EDC"/>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0FC"/>
    <w:rsid w:val="0036445C"/>
    <w:rsid w:val="00364627"/>
    <w:rsid w:val="00364AB0"/>
    <w:rsid w:val="00364D71"/>
    <w:rsid w:val="003654A5"/>
    <w:rsid w:val="003667B0"/>
    <w:rsid w:val="003667DD"/>
    <w:rsid w:val="00366B48"/>
    <w:rsid w:val="00367764"/>
    <w:rsid w:val="00370316"/>
    <w:rsid w:val="00370DC7"/>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9D0"/>
    <w:rsid w:val="0038326A"/>
    <w:rsid w:val="0038444F"/>
    <w:rsid w:val="003861F0"/>
    <w:rsid w:val="00387051"/>
    <w:rsid w:val="00387ECF"/>
    <w:rsid w:val="0039021B"/>
    <w:rsid w:val="003903F7"/>
    <w:rsid w:val="00390429"/>
    <w:rsid w:val="003906A0"/>
    <w:rsid w:val="003931AF"/>
    <w:rsid w:val="0039366C"/>
    <w:rsid w:val="00393EC8"/>
    <w:rsid w:val="00395E42"/>
    <w:rsid w:val="00396409"/>
    <w:rsid w:val="00396A2D"/>
    <w:rsid w:val="00396FC3"/>
    <w:rsid w:val="003A1A94"/>
    <w:rsid w:val="003A204E"/>
    <w:rsid w:val="003A2D25"/>
    <w:rsid w:val="003A5728"/>
    <w:rsid w:val="003A60E7"/>
    <w:rsid w:val="003A62BE"/>
    <w:rsid w:val="003A7092"/>
    <w:rsid w:val="003A72A1"/>
    <w:rsid w:val="003A7611"/>
    <w:rsid w:val="003A7D1F"/>
    <w:rsid w:val="003B0B6A"/>
    <w:rsid w:val="003B22F7"/>
    <w:rsid w:val="003B29CF"/>
    <w:rsid w:val="003B3A90"/>
    <w:rsid w:val="003B3D01"/>
    <w:rsid w:val="003B534F"/>
    <w:rsid w:val="003B7A79"/>
    <w:rsid w:val="003C0FE1"/>
    <w:rsid w:val="003C151A"/>
    <w:rsid w:val="003C350C"/>
    <w:rsid w:val="003C3903"/>
    <w:rsid w:val="003C3BA0"/>
    <w:rsid w:val="003C4580"/>
    <w:rsid w:val="003C5C5E"/>
    <w:rsid w:val="003C6746"/>
    <w:rsid w:val="003C7555"/>
    <w:rsid w:val="003C7898"/>
    <w:rsid w:val="003C7B16"/>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0F4"/>
    <w:rsid w:val="003E55CB"/>
    <w:rsid w:val="003E59BB"/>
    <w:rsid w:val="003E6225"/>
    <w:rsid w:val="003E65AC"/>
    <w:rsid w:val="003E66AE"/>
    <w:rsid w:val="003E72B9"/>
    <w:rsid w:val="003E7612"/>
    <w:rsid w:val="003E7BF4"/>
    <w:rsid w:val="003E7ED4"/>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445"/>
    <w:rsid w:val="00405AC1"/>
    <w:rsid w:val="00406923"/>
    <w:rsid w:val="00407049"/>
    <w:rsid w:val="0040763D"/>
    <w:rsid w:val="00410D17"/>
    <w:rsid w:val="00412AA9"/>
    <w:rsid w:val="00413442"/>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6823"/>
    <w:rsid w:val="004371D5"/>
    <w:rsid w:val="004379EA"/>
    <w:rsid w:val="0044006B"/>
    <w:rsid w:val="0044033F"/>
    <w:rsid w:val="00440630"/>
    <w:rsid w:val="00441F0F"/>
    <w:rsid w:val="00442965"/>
    <w:rsid w:val="004432B6"/>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4AB7"/>
    <w:rsid w:val="00465DE5"/>
    <w:rsid w:val="00467EF8"/>
    <w:rsid w:val="00472429"/>
    <w:rsid w:val="004725E5"/>
    <w:rsid w:val="00472751"/>
    <w:rsid w:val="00473128"/>
    <w:rsid w:val="00475078"/>
    <w:rsid w:val="00475767"/>
    <w:rsid w:val="00476D99"/>
    <w:rsid w:val="004779A0"/>
    <w:rsid w:val="004808E3"/>
    <w:rsid w:val="00481016"/>
    <w:rsid w:val="0048204C"/>
    <w:rsid w:val="004821BB"/>
    <w:rsid w:val="0048237A"/>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A06DC"/>
    <w:rsid w:val="004A1405"/>
    <w:rsid w:val="004A1FC6"/>
    <w:rsid w:val="004A2E5F"/>
    <w:rsid w:val="004A38C2"/>
    <w:rsid w:val="004A3C03"/>
    <w:rsid w:val="004A3DB7"/>
    <w:rsid w:val="004A463B"/>
    <w:rsid w:val="004A5088"/>
    <w:rsid w:val="004A5255"/>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2138"/>
    <w:rsid w:val="004C3940"/>
    <w:rsid w:val="004C51FD"/>
    <w:rsid w:val="004C65A8"/>
    <w:rsid w:val="004C6689"/>
    <w:rsid w:val="004C691F"/>
    <w:rsid w:val="004D139A"/>
    <w:rsid w:val="004D14DC"/>
    <w:rsid w:val="004D17C6"/>
    <w:rsid w:val="004D2608"/>
    <w:rsid w:val="004D2858"/>
    <w:rsid w:val="004D2E49"/>
    <w:rsid w:val="004D35BA"/>
    <w:rsid w:val="004D38E5"/>
    <w:rsid w:val="004D3C5A"/>
    <w:rsid w:val="004D449A"/>
    <w:rsid w:val="004D4701"/>
    <w:rsid w:val="004D47C7"/>
    <w:rsid w:val="004D4B2B"/>
    <w:rsid w:val="004D4F35"/>
    <w:rsid w:val="004D51EE"/>
    <w:rsid w:val="004D525E"/>
    <w:rsid w:val="004D5D45"/>
    <w:rsid w:val="004D618D"/>
    <w:rsid w:val="004D62A9"/>
    <w:rsid w:val="004D6FC3"/>
    <w:rsid w:val="004D7476"/>
    <w:rsid w:val="004D7716"/>
    <w:rsid w:val="004E0306"/>
    <w:rsid w:val="004E0572"/>
    <w:rsid w:val="004E1641"/>
    <w:rsid w:val="004E1818"/>
    <w:rsid w:val="004E1990"/>
    <w:rsid w:val="004E25A8"/>
    <w:rsid w:val="004E3930"/>
    <w:rsid w:val="004E3ED9"/>
    <w:rsid w:val="004E5866"/>
    <w:rsid w:val="004E6097"/>
    <w:rsid w:val="004E61EF"/>
    <w:rsid w:val="004E63C6"/>
    <w:rsid w:val="004E76A7"/>
    <w:rsid w:val="004E7A58"/>
    <w:rsid w:val="004E7B03"/>
    <w:rsid w:val="004F0064"/>
    <w:rsid w:val="004F06AC"/>
    <w:rsid w:val="004F0E50"/>
    <w:rsid w:val="004F1D2A"/>
    <w:rsid w:val="004F243F"/>
    <w:rsid w:val="004F252C"/>
    <w:rsid w:val="004F36A3"/>
    <w:rsid w:val="004F3E0C"/>
    <w:rsid w:val="004F4308"/>
    <w:rsid w:val="004F7160"/>
    <w:rsid w:val="00500258"/>
    <w:rsid w:val="00500B2D"/>
    <w:rsid w:val="00501A99"/>
    <w:rsid w:val="00503180"/>
    <w:rsid w:val="005038A4"/>
    <w:rsid w:val="00505450"/>
    <w:rsid w:val="00507901"/>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608F"/>
    <w:rsid w:val="00516480"/>
    <w:rsid w:val="00520EF8"/>
    <w:rsid w:val="005210F7"/>
    <w:rsid w:val="00521753"/>
    <w:rsid w:val="0052239D"/>
    <w:rsid w:val="005224EE"/>
    <w:rsid w:val="00522879"/>
    <w:rsid w:val="00523BB1"/>
    <w:rsid w:val="00524B23"/>
    <w:rsid w:val="0052570E"/>
    <w:rsid w:val="005260CD"/>
    <w:rsid w:val="00526265"/>
    <w:rsid w:val="0052655D"/>
    <w:rsid w:val="005265E0"/>
    <w:rsid w:val="00526BC3"/>
    <w:rsid w:val="00531761"/>
    <w:rsid w:val="0053248F"/>
    <w:rsid w:val="005327AB"/>
    <w:rsid w:val="0053332A"/>
    <w:rsid w:val="0053358A"/>
    <w:rsid w:val="00534668"/>
    <w:rsid w:val="00534DDD"/>
    <w:rsid w:val="00535291"/>
    <w:rsid w:val="00535A94"/>
    <w:rsid w:val="00537874"/>
    <w:rsid w:val="0053795F"/>
    <w:rsid w:val="00537AD8"/>
    <w:rsid w:val="00537D3D"/>
    <w:rsid w:val="00540511"/>
    <w:rsid w:val="00540578"/>
    <w:rsid w:val="00540808"/>
    <w:rsid w:val="0054080E"/>
    <w:rsid w:val="00540D1A"/>
    <w:rsid w:val="00540EA1"/>
    <w:rsid w:val="00541E5A"/>
    <w:rsid w:val="0054358E"/>
    <w:rsid w:val="00543AF4"/>
    <w:rsid w:val="00543F53"/>
    <w:rsid w:val="00544191"/>
    <w:rsid w:val="0054440C"/>
    <w:rsid w:val="005448EC"/>
    <w:rsid w:val="00544C0A"/>
    <w:rsid w:val="00544F39"/>
    <w:rsid w:val="005457FB"/>
    <w:rsid w:val="00546F90"/>
    <w:rsid w:val="00547EFB"/>
    <w:rsid w:val="005522F2"/>
    <w:rsid w:val="005531DF"/>
    <w:rsid w:val="00553874"/>
    <w:rsid w:val="00554577"/>
    <w:rsid w:val="00554AD8"/>
    <w:rsid w:val="00554F78"/>
    <w:rsid w:val="00555DA1"/>
    <w:rsid w:val="005565DF"/>
    <w:rsid w:val="00556BF7"/>
    <w:rsid w:val="00556E53"/>
    <w:rsid w:val="00557F60"/>
    <w:rsid w:val="00561730"/>
    <w:rsid w:val="00561B97"/>
    <w:rsid w:val="00562149"/>
    <w:rsid w:val="005640EB"/>
    <w:rsid w:val="00567B5D"/>
    <w:rsid w:val="00570757"/>
    <w:rsid w:val="00573733"/>
    <w:rsid w:val="00573F8B"/>
    <w:rsid w:val="00574528"/>
    <w:rsid w:val="00574554"/>
    <w:rsid w:val="00574737"/>
    <w:rsid w:val="00574E06"/>
    <w:rsid w:val="005751BB"/>
    <w:rsid w:val="00576089"/>
    <w:rsid w:val="005764B1"/>
    <w:rsid w:val="00576852"/>
    <w:rsid w:val="00576D06"/>
    <w:rsid w:val="005779E4"/>
    <w:rsid w:val="00580EC7"/>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090"/>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3A1"/>
    <w:rsid w:val="005B3852"/>
    <w:rsid w:val="005B3BAF"/>
    <w:rsid w:val="005B4DA3"/>
    <w:rsid w:val="005B5BEE"/>
    <w:rsid w:val="005B77D2"/>
    <w:rsid w:val="005C019B"/>
    <w:rsid w:val="005C08D0"/>
    <w:rsid w:val="005C1AED"/>
    <w:rsid w:val="005C2136"/>
    <w:rsid w:val="005C30F5"/>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6B59"/>
    <w:rsid w:val="005D784B"/>
    <w:rsid w:val="005E03E4"/>
    <w:rsid w:val="005E0454"/>
    <w:rsid w:val="005E05F6"/>
    <w:rsid w:val="005E2442"/>
    <w:rsid w:val="005E3111"/>
    <w:rsid w:val="005E3CA0"/>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7EEE"/>
    <w:rsid w:val="00620A1F"/>
    <w:rsid w:val="0062169D"/>
    <w:rsid w:val="0062181E"/>
    <w:rsid w:val="0062211B"/>
    <w:rsid w:val="00622BB7"/>
    <w:rsid w:val="00622C1E"/>
    <w:rsid w:val="00623389"/>
    <w:rsid w:val="00623DAA"/>
    <w:rsid w:val="00623FAF"/>
    <w:rsid w:val="006265C4"/>
    <w:rsid w:val="0062678A"/>
    <w:rsid w:val="006270AF"/>
    <w:rsid w:val="00634367"/>
    <w:rsid w:val="00640082"/>
    <w:rsid w:val="00640291"/>
    <w:rsid w:val="00640EFE"/>
    <w:rsid w:val="00641D6D"/>
    <w:rsid w:val="00641FAC"/>
    <w:rsid w:val="00643664"/>
    <w:rsid w:val="00643CAA"/>
    <w:rsid w:val="00644F16"/>
    <w:rsid w:val="006453F1"/>
    <w:rsid w:val="006455EB"/>
    <w:rsid w:val="006456C2"/>
    <w:rsid w:val="00645A65"/>
    <w:rsid w:val="006477F0"/>
    <w:rsid w:val="006478E4"/>
    <w:rsid w:val="0065171A"/>
    <w:rsid w:val="00652680"/>
    <w:rsid w:val="00653CDE"/>
    <w:rsid w:val="00654585"/>
    <w:rsid w:val="0065566E"/>
    <w:rsid w:val="00655AB6"/>
    <w:rsid w:val="00656061"/>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5549"/>
    <w:rsid w:val="006A703E"/>
    <w:rsid w:val="006A7BE3"/>
    <w:rsid w:val="006A7D32"/>
    <w:rsid w:val="006B01D1"/>
    <w:rsid w:val="006B0DF4"/>
    <w:rsid w:val="006B16EA"/>
    <w:rsid w:val="006B1780"/>
    <w:rsid w:val="006B224E"/>
    <w:rsid w:val="006B376E"/>
    <w:rsid w:val="006B4589"/>
    <w:rsid w:val="006B5157"/>
    <w:rsid w:val="006B610E"/>
    <w:rsid w:val="006B6805"/>
    <w:rsid w:val="006B6C07"/>
    <w:rsid w:val="006B6DE0"/>
    <w:rsid w:val="006C16C3"/>
    <w:rsid w:val="006C2187"/>
    <w:rsid w:val="006C32F4"/>
    <w:rsid w:val="006C3C54"/>
    <w:rsid w:val="006C4B6B"/>
    <w:rsid w:val="006C4CE1"/>
    <w:rsid w:val="006C4F9F"/>
    <w:rsid w:val="006C653C"/>
    <w:rsid w:val="006C71A2"/>
    <w:rsid w:val="006C73EC"/>
    <w:rsid w:val="006D0C1D"/>
    <w:rsid w:val="006D2E9D"/>
    <w:rsid w:val="006D4A4E"/>
    <w:rsid w:val="006D4C42"/>
    <w:rsid w:val="006D5389"/>
    <w:rsid w:val="006D53A2"/>
    <w:rsid w:val="006D5809"/>
    <w:rsid w:val="006D607E"/>
    <w:rsid w:val="006D6DA2"/>
    <w:rsid w:val="006D6E12"/>
    <w:rsid w:val="006D70CB"/>
    <w:rsid w:val="006D715C"/>
    <w:rsid w:val="006D7363"/>
    <w:rsid w:val="006D774E"/>
    <w:rsid w:val="006E0754"/>
    <w:rsid w:val="006E0AA9"/>
    <w:rsid w:val="006E0E61"/>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31"/>
    <w:rsid w:val="006F3DE3"/>
    <w:rsid w:val="006F4787"/>
    <w:rsid w:val="006F5A7F"/>
    <w:rsid w:val="006F61D8"/>
    <w:rsid w:val="006F62B7"/>
    <w:rsid w:val="006F681E"/>
    <w:rsid w:val="006F70BC"/>
    <w:rsid w:val="006F726C"/>
    <w:rsid w:val="006F7E7C"/>
    <w:rsid w:val="0070174E"/>
    <w:rsid w:val="007018DB"/>
    <w:rsid w:val="00701DE6"/>
    <w:rsid w:val="00702740"/>
    <w:rsid w:val="0070381B"/>
    <w:rsid w:val="0070796C"/>
    <w:rsid w:val="007109BB"/>
    <w:rsid w:val="00710EBF"/>
    <w:rsid w:val="007110B8"/>
    <w:rsid w:val="0071209F"/>
    <w:rsid w:val="007125A2"/>
    <w:rsid w:val="00712BE2"/>
    <w:rsid w:val="00713DD9"/>
    <w:rsid w:val="00713F79"/>
    <w:rsid w:val="007148A8"/>
    <w:rsid w:val="00716AC8"/>
    <w:rsid w:val="00716E54"/>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1F63"/>
    <w:rsid w:val="007323E0"/>
    <w:rsid w:val="00732911"/>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2D0"/>
    <w:rsid w:val="007504BF"/>
    <w:rsid w:val="007506CD"/>
    <w:rsid w:val="0075267F"/>
    <w:rsid w:val="007526EC"/>
    <w:rsid w:val="00753C48"/>
    <w:rsid w:val="00754250"/>
    <w:rsid w:val="00754FE4"/>
    <w:rsid w:val="00755216"/>
    <w:rsid w:val="00755AD0"/>
    <w:rsid w:val="00756236"/>
    <w:rsid w:val="00756271"/>
    <w:rsid w:val="00756348"/>
    <w:rsid w:val="00756521"/>
    <w:rsid w:val="00756AB7"/>
    <w:rsid w:val="00757673"/>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153"/>
    <w:rsid w:val="007777CC"/>
    <w:rsid w:val="00777B32"/>
    <w:rsid w:val="0078051E"/>
    <w:rsid w:val="00781089"/>
    <w:rsid w:val="007838F3"/>
    <w:rsid w:val="007856FE"/>
    <w:rsid w:val="00785F46"/>
    <w:rsid w:val="007865F4"/>
    <w:rsid w:val="00786D5C"/>
    <w:rsid w:val="00786E96"/>
    <w:rsid w:val="00787BB6"/>
    <w:rsid w:val="00787DFF"/>
    <w:rsid w:val="00787F93"/>
    <w:rsid w:val="00791E6D"/>
    <w:rsid w:val="00791EB5"/>
    <w:rsid w:val="0079343F"/>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3BF0"/>
    <w:rsid w:val="007B7490"/>
    <w:rsid w:val="007C0525"/>
    <w:rsid w:val="007C13F7"/>
    <w:rsid w:val="007C218D"/>
    <w:rsid w:val="007C2D28"/>
    <w:rsid w:val="007C3E22"/>
    <w:rsid w:val="007C58C1"/>
    <w:rsid w:val="007C6218"/>
    <w:rsid w:val="007C6484"/>
    <w:rsid w:val="007C67C6"/>
    <w:rsid w:val="007C78BE"/>
    <w:rsid w:val="007C7A5D"/>
    <w:rsid w:val="007C7E59"/>
    <w:rsid w:val="007D0476"/>
    <w:rsid w:val="007D0B91"/>
    <w:rsid w:val="007D1452"/>
    <w:rsid w:val="007D1563"/>
    <w:rsid w:val="007D3DCB"/>
    <w:rsid w:val="007D460C"/>
    <w:rsid w:val="007D4996"/>
    <w:rsid w:val="007D4AD3"/>
    <w:rsid w:val="007D5D19"/>
    <w:rsid w:val="007D5FDC"/>
    <w:rsid w:val="007D6176"/>
    <w:rsid w:val="007D69CD"/>
    <w:rsid w:val="007D6D68"/>
    <w:rsid w:val="007E1D01"/>
    <w:rsid w:val="007E32DA"/>
    <w:rsid w:val="007E4998"/>
    <w:rsid w:val="007E4A9C"/>
    <w:rsid w:val="007E6914"/>
    <w:rsid w:val="007E7F78"/>
    <w:rsid w:val="007F0179"/>
    <w:rsid w:val="007F2C13"/>
    <w:rsid w:val="007F2CEC"/>
    <w:rsid w:val="007F312D"/>
    <w:rsid w:val="007F3435"/>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1010F"/>
    <w:rsid w:val="00810BB6"/>
    <w:rsid w:val="00810E8E"/>
    <w:rsid w:val="00812C44"/>
    <w:rsid w:val="008135E1"/>
    <w:rsid w:val="00813779"/>
    <w:rsid w:val="00813E26"/>
    <w:rsid w:val="0081481D"/>
    <w:rsid w:val="00814BE8"/>
    <w:rsid w:val="00814F6E"/>
    <w:rsid w:val="00815B84"/>
    <w:rsid w:val="008166F6"/>
    <w:rsid w:val="00816BE9"/>
    <w:rsid w:val="00817D10"/>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57C7"/>
    <w:rsid w:val="00836075"/>
    <w:rsid w:val="00836417"/>
    <w:rsid w:val="00837526"/>
    <w:rsid w:val="008407A7"/>
    <w:rsid w:val="0084322B"/>
    <w:rsid w:val="00843F81"/>
    <w:rsid w:val="00844087"/>
    <w:rsid w:val="008448F1"/>
    <w:rsid w:val="0084519E"/>
    <w:rsid w:val="00845CAE"/>
    <w:rsid w:val="008462C5"/>
    <w:rsid w:val="00846370"/>
    <w:rsid w:val="00846873"/>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3A8E"/>
    <w:rsid w:val="0086407F"/>
    <w:rsid w:val="008645E3"/>
    <w:rsid w:val="00864E79"/>
    <w:rsid w:val="0086661F"/>
    <w:rsid w:val="00866A0D"/>
    <w:rsid w:val="00866DB5"/>
    <w:rsid w:val="0086701D"/>
    <w:rsid w:val="0086702B"/>
    <w:rsid w:val="008672E2"/>
    <w:rsid w:val="0086784E"/>
    <w:rsid w:val="0087121C"/>
    <w:rsid w:val="008719D4"/>
    <w:rsid w:val="00871FD2"/>
    <w:rsid w:val="00872084"/>
    <w:rsid w:val="00872827"/>
    <w:rsid w:val="00872A32"/>
    <w:rsid w:val="00874911"/>
    <w:rsid w:val="008754E4"/>
    <w:rsid w:val="00876EAE"/>
    <w:rsid w:val="00880106"/>
    <w:rsid w:val="00880F95"/>
    <w:rsid w:val="00882B44"/>
    <w:rsid w:val="008838AD"/>
    <w:rsid w:val="00885BC9"/>
    <w:rsid w:val="008864B3"/>
    <w:rsid w:val="008865E5"/>
    <w:rsid w:val="008871B0"/>
    <w:rsid w:val="00890B57"/>
    <w:rsid w:val="008916BA"/>
    <w:rsid w:val="0089217C"/>
    <w:rsid w:val="00892790"/>
    <w:rsid w:val="00893671"/>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2E7C"/>
    <w:rsid w:val="008B399A"/>
    <w:rsid w:val="008B45F0"/>
    <w:rsid w:val="008B4902"/>
    <w:rsid w:val="008B4A70"/>
    <w:rsid w:val="008B502F"/>
    <w:rsid w:val="008B6DFC"/>
    <w:rsid w:val="008B7227"/>
    <w:rsid w:val="008C02FB"/>
    <w:rsid w:val="008C04E0"/>
    <w:rsid w:val="008C191C"/>
    <w:rsid w:val="008C1DA4"/>
    <w:rsid w:val="008C2138"/>
    <w:rsid w:val="008C29B0"/>
    <w:rsid w:val="008C2CD5"/>
    <w:rsid w:val="008C3618"/>
    <w:rsid w:val="008C39E7"/>
    <w:rsid w:val="008C43AD"/>
    <w:rsid w:val="008C6118"/>
    <w:rsid w:val="008C6341"/>
    <w:rsid w:val="008C653D"/>
    <w:rsid w:val="008C70A6"/>
    <w:rsid w:val="008C731F"/>
    <w:rsid w:val="008C74D9"/>
    <w:rsid w:val="008D2050"/>
    <w:rsid w:val="008D3B2D"/>
    <w:rsid w:val="008D58D9"/>
    <w:rsid w:val="008D5AD4"/>
    <w:rsid w:val="008D695E"/>
    <w:rsid w:val="008D6DD5"/>
    <w:rsid w:val="008D6E59"/>
    <w:rsid w:val="008D7155"/>
    <w:rsid w:val="008D76E0"/>
    <w:rsid w:val="008E0B29"/>
    <w:rsid w:val="008E141A"/>
    <w:rsid w:val="008E1A44"/>
    <w:rsid w:val="008E20CC"/>
    <w:rsid w:val="008E28E6"/>
    <w:rsid w:val="008E3232"/>
    <w:rsid w:val="008E3674"/>
    <w:rsid w:val="008E3B6C"/>
    <w:rsid w:val="008E3DE7"/>
    <w:rsid w:val="008E5227"/>
    <w:rsid w:val="008E562C"/>
    <w:rsid w:val="008E6540"/>
    <w:rsid w:val="008E77D4"/>
    <w:rsid w:val="008E7ADD"/>
    <w:rsid w:val="008F091F"/>
    <w:rsid w:val="008F17B2"/>
    <w:rsid w:val="008F22B3"/>
    <w:rsid w:val="008F357B"/>
    <w:rsid w:val="008F44CA"/>
    <w:rsid w:val="008F49D3"/>
    <w:rsid w:val="008F6519"/>
    <w:rsid w:val="008F7012"/>
    <w:rsid w:val="008F7ADA"/>
    <w:rsid w:val="008F7B17"/>
    <w:rsid w:val="00900042"/>
    <w:rsid w:val="0090034B"/>
    <w:rsid w:val="0090087C"/>
    <w:rsid w:val="00901121"/>
    <w:rsid w:val="00902623"/>
    <w:rsid w:val="00902A67"/>
    <w:rsid w:val="00902C5E"/>
    <w:rsid w:val="00904BE4"/>
    <w:rsid w:val="0090504A"/>
    <w:rsid w:val="009051F5"/>
    <w:rsid w:val="00905221"/>
    <w:rsid w:val="009057AB"/>
    <w:rsid w:val="00905A7C"/>
    <w:rsid w:val="00905D7E"/>
    <w:rsid w:val="00907037"/>
    <w:rsid w:val="0091112C"/>
    <w:rsid w:val="0091160A"/>
    <w:rsid w:val="00912E04"/>
    <w:rsid w:val="00913258"/>
    <w:rsid w:val="00913851"/>
    <w:rsid w:val="00913BB0"/>
    <w:rsid w:val="0091456C"/>
    <w:rsid w:val="00914C58"/>
    <w:rsid w:val="00914D7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21B1"/>
    <w:rsid w:val="00932ED7"/>
    <w:rsid w:val="0093422D"/>
    <w:rsid w:val="0093483B"/>
    <w:rsid w:val="00934CF9"/>
    <w:rsid w:val="00934DD7"/>
    <w:rsid w:val="00935CB2"/>
    <w:rsid w:val="009369A9"/>
    <w:rsid w:val="00936CF7"/>
    <w:rsid w:val="00937783"/>
    <w:rsid w:val="00937EAD"/>
    <w:rsid w:val="00937F28"/>
    <w:rsid w:val="00940FE1"/>
    <w:rsid w:val="00942306"/>
    <w:rsid w:val="009424B8"/>
    <w:rsid w:val="009432E2"/>
    <w:rsid w:val="00944668"/>
    <w:rsid w:val="00944DC6"/>
    <w:rsid w:val="009458B0"/>
    <w:rsid w:val="00945B52"/>
    <w:rsid w:val="00945B7A"/>
    <w:rsid w:val="00945F05"/>
    <w:rsid w:val="00946348"/>
    <w:rsid w:val="00947224"/>
    <w:rsid w:val="00947797"/>
    <w:rsid w:val="009478A2"/>
    <w:rsid w:val="009533BD"/>
    <w:rsid w:val="00953808"/>
    <w:rsid w:val="009539A6"/>
    <w:rsid w:val="00953CC3"/>
    <w:rsid w:val="00954032"/>
    <w:rsid w:val="00954537"/>
    <w:rsid w:val="0095472D"/>
    <w:rsid w:val="00955342"/>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7CD6"/>
    <w:rsid w:val="0098048B"/>
    <w:rsid w:val="00980908"/>
    <w:rsid w:val="00980DF9"/>
    <w:rsid w:val="00981CD8"/>
    <w:rsid w:val="0098243D"/>
    <w:rsid w:val="00982D26"/>
    <w:rsid w:val="00983B6E"/>
    <w:rsid w:val="00983FE5"/>
    <w:rsid w:val="009849E9"/>
    <w:rsid w:val="00984AFF"/>
    <w:rsid w:val="00984E4B"/>
    <w:rsid w:val="009859E4"/>
    <w:rsid w:val="00987812"/>
    <w:rsid w:val="00990225"/>
    <w:rsid w:val="00991307"/>
    <w:rsid w:val="00991A6F"/>
    <w:rsid w:val="00992A13"/>
    <w:rsid w:val="00994AAD"/>
    <w:rsid w:val="00995150"/>
    <w:rsid w:val="00995D67"/>
    <w:rsid w:val="00997613"/>
    <w:rsid w:val="009A013B"/>
    <w:rsid w:val="009A02F4"/>
    <w:rsid w:val="009A06BF"/>
    <w:rsid w:val="009A0D17"/>
    <w:rsid w:val="009A2494"/>
    <w:rsid w:val="009A32B1"/>
    <w:rsid w:val="009A33A3"/>
    <w:rsid w:val="009A36F2"/>
    <w:rsid w:val="009A40C3"/>
    <w:rsid w:val="009A40D5"/>
    <w:rsid w:val="009A5268"/>
    <w:rsid w:val="009A57D0"/>
    <w:rsid w:val="009A6559"/>
    <w:rsid w:val="009A68FC"/>
    <w:rsid w:val="009A6CE4"/>
    <w:rsid w:val="009A7514"/>
    <w:rsid w:val="009A7E7A"/>
    <w:rsid w:val="009B0925"/>
    <w:rsid w:val="009B1584"/>
    <w:rsid w:val="009B18F0"/>
    <w:rsid w:val="009B1F4C"/>
    <w:rsid w:val="009B2471"/>
    <w:rsid w:val="009B314F"/>
    <w:rsid w:val="009B439C"/>
    <w:rsid w:val="009B49A1"/>
    <w:rsid w:val="009B4A6C"/>
    <w:rsid w:val="009B4DA8"/>
    <w:rsid w:val="009B519A"/>
    <w:rsid w:val="009B620C"/>
    <w:rsid w:val="009B6753"/>
    <w:rsid w:val="009B676C"/>
    <w:rsid w:val="009B67D3"/>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18C5"/>
    <w:rsid w:val="009E1C63"/>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9F6F43"/>
    <w:rsid w:val="00A004DF"/>
    <w:rsid w:val="00A00FD5"/>
    <w:rsid w:val="00A012C0"/>
    <w:rsid w:val="00A019A8"/>
    <w:rsid w:val="00A01B03"/>
    <w:rsid w:val="00A01B89"/>
    <w:rsid w:val="00A02C66"/>
    <w:rsid w:val="00A02C84"/>
    <w:rsid w:val="00A0464C"/>
    <w:rsid w:val="00A050BB"/>
    <w:rsid w:val="00A0521B"/>
    <w:rsid w:val="00A054E0"/>
    <w:rsid w:val="00A05D91"/>
    <w:rsid w:val="00A0740B"/>
    <w:rsid w:val="00A07ED3"/>
    <w:rsid w:val="00A10CA8"/>
    <w:rsid w:val="00A11042"/>
    <w:rsid w:val="00A12579"/>
    <w:rsid w:val="00A129F6"/>
    <w:rsid w:val="00A12CDC"/>
    <w:rsid w:val="00A133D8"/>
    <w:rsid w:val="00A15655"/>
    <w:rsid w:val="00A1582F"/>
    <w:rsid w:val="00A15FDC"/>
    <w:rsid w:val="00A160B0"/>
    <w:rsid w:val="00A1740C"/>
    <w:rsid w:val="00A17904"/>
    <w:rsid w:val="00A20069"/>
    <w:rsid w:val="00A2244D"/>
    <w:rsid w:val="00A2253D"/>
    <w:rsid w:val="00A2267F"/>
    <w:rsid w:val="00A22CDB"/>
    <w:rsid w:val="00A247B8"/>
    <w:rsid w:val="00A2495A"/>
    <w:rsid w:val="00A24C7A"/>
    <w:rsid w:val="00A24D8F"/>
    <w:rsid w:val="00A25B8B"/>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BF7"/>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699F"/>
    <w:rsid w:val="00A67FCC"/>
    <w:rsid w:val="00A70AA5"/>
    <w:rsid w:val="00A70C03"/>
    <w:rsid w:val="00A71256"/>
    <w:rsid w:val="00A7217B"/>
    <w:rsid w:val="00A73861"/>
    <w:rsid w:val="00A739A6"/>
    <w:rsid w:val="00A740ED"/>
    <w:rsid w:val="00A74C29"/>
    <w:rsid w:val="00A74C62"/>
    <w:rsid w:val="00A75EF9"/>
    <w:rsid w:val="00A7657C"/>
    <w:rsid w:val="00A8311C"/>
    <w:rsid w:val="00A835D0"/>
    <w:rsid w:val="00A84C5F"/>
    <w:rsid w:val="00A85930"/>
    <w:rsid w:val="00A863F7"/>
    <w:rsid w:val="00A86604"/>
    <w:rsid w:val="00A87519"/>
    <w:rsid w:val="00A9246D"/>
    <w:rsid w:val="00A92CCA"/>
    <w:rsid w:val="00A93BD0"/>
    <w:rsid w:val="00A93CC2"/>
    <w:rsid w:val="00A94D4B"/>
    <w:rsid w:val="00A974CC"/>
    <w:rsid w:val="00AA2001"/>
    <w:rsid w:val="00AA2B5C"/>
    <w:rsid w:val="00AA32D2"/>
    <w:rsid w:val="00AA3B8B"/>
    <w:rsid w:val="00AA4016"/>
    <w:rsid w:val="00AA4C1F"/>
    <w:rsid w:val="00AA5328"/>
    <w:rsid w:val="00AA5393"/>
    <w:rsid w:val="00AA63D4"/>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40B7"/>
    <w:rsid w:val="00AC516B"/>
    <w:rsid w:val="00AC531F"/>
    <w:rsid w:val="00AC5B36"/>
    <w:rsid w:val="00AC6377"/>
    <w:rsid w:val="00AC66A4"/>
    <w:rsid w:val="00AC6CB1"/>
    <w:rsid w:val="00AC75E9"/>
    <w:rsid w:val="00AC7D6D"/>
    <w:rsid w:val="00AD0091"/>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297"/>
    <w:rsid w:val="00AE33A6"/>
    <w:rsid w:val="00AE3729"/>
    <w:rsid w:val="00AE4CCE"/>
    <w:rsid w:val="00AE5C6A"/>
    <w:rsid w:val="00AE7280"/>
    <w:rsid w:val="00AF01FA"/>
    <w:rsid w:val="00AF033A"/>
    <w:rsid w:val="00AF0EDA"/>
    <w:rsid w:val="00AF1699"/>
    <w:rsid w:val="00AF1FD3"/>
    <w:rsid w:val="00AF2910"/>
    <w:rsid w:val="00AF34B8"/>
    <w:rsid w:val="00AF3896"/>
    <w:rsid w:val="00AF3FC2"/>
    <w:rsid w:val="00AF4DEC"/>
    <w:rsid w:val="00B0098A"/>
    <w:rsid w:val="00B00A5F"/>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2265"/>
    <w:rsid w:val="00B3276D"/>
    <w:rsid w:val="00B33B06"/>
    <w:rsid w:val="00B33C19"/>
    <w:rsid w:val="00B35A15"/>
    <w:rsid w:val="00B35B45"/>
    <w:rsid w:val="00B36A99"/>
    <w:rsid w:val="00B42264"/>
    <w:rsid w:val="00B434B2"/>
    <w:rsid w:val="00B43D45"/>
    <w:rsid w:val="00B459AF"/>
    <w:rsid w:val="00B468F2"/>
    <w:rsid w:val="00B469DE"/>
    <w:rsid w:val="00B47286"/>
    <w:rsid w:val="00B47EB4"/>
    <w:rsid w:val="00B50234"/>
    <w:rsid w:val="00B51BF4"/>
    <w:rsid w:val="00B52C68"/>
    <w:rsid w:val="00B5372B"/>
    <w:rsid w:val="00B542FE"/>
    <w:rsid w:val="00B55A1B"/>
    <w:rsid w:val="00B561DB"/>
    <w:rsid w:val="00B56DF9"/>
    <w:rsid w:val="00B56E80"/>
    <w:rsid w:val="00B600BD"/>
    <w:rsid w:val="00B61274"/>
    <w:rsid w:val="00B61DCE"/>
    <w:rsid w:val="00B62188"/>
    <w:rsid w:val="00B62F79"/>
    <w:rsid w:val="00B62F82"/>
    <w:rsid w:val="00B6306A"/>
    <w:rsid w:val="00B635E3"/>
    <w:rsid w:val="00B650A8"/>
    <w:rsid w:val="00B662FF"/>
    <w:rsid w:val="00B66679"/>
    <w:rsid w:val="00B70145"/>
    <w:rsid w:val="00B71A92"/>
    <w:rsid w:val="00B721D8"/>
    <w:rsid w:val="00B730CA"/>
    <w:rsid w:val="00B732EA"/>
    <w:rsid w:val="00B747C5"/>
    <w:rsid w:val="00B74F2F"/>
    <w:rsid w:val="00B753ED"/>
    <w:rsid w:val="00B7665F"/>
    <w:rsid w:val="00B769BC"/>
    <w:rsid w:val="00B76E58"/>
    <w:rsid w:val="00B77349"/>
    <w:rsid w:val="00B7761E"/>
    <w:rsid w:val="00B80A3D"/>
    <w:rsid w:val="00B80B04"/>
    <w:rsid w:val="00B821E4"/>
    <w:rsid w:val="00B823E0"/>
    <w:rsid w:val="00B8260D"/>
    <w:rsid w:val="00B82B78"/>
    <w:rsid w:val="00B845B4"/>
    <w:rsid w:val="00B84662"/>
    <w:rsid w:val="00B84C74"/>
    <w:rsid w:val="00B85191"/>
    <w:rsid w:val="00B858A1"/>
    <w:rsid w:val="00B85FEC"/>
    <w:rsid w:val="00B864A3"/>
    <w:rsid w:val="00B86C2A"/>
    <w:rsid w:val="00B902A5"/>
    <w:rsid w:val="00B90420"/>
    <w:rsid w:val="00B90848"/>
    <w:rsid w:val="00B91146"/>
    <w:rsid w:val="00B913E4"/>
    <w:rsid w:val="00B91DB9"/>
    <w:rsid w:val="00B91FF3"/>
    <w:rsid w:val="00B925F8"/>
    <w:rsid w:val="00B92AEE"/>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C0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3EA7"/>
    <w:rsid w:val="00BB5D16"/>
    <w:rsid w:val="00BB6180"/>
    <w:rsid w:val="00BB69E6"/>
    <w:rsid w:val="00BB7323"/>
    <w:rsid w:val="00BB7BE5"/>
    <w:rsid w:val="00BC08BD"/>
    <w:rsid w:val="00BC11E8"/>
    <w:rsid w:val="00BC1B7A"/>
    <w:rsid w:val="00BC2C17"/>
    <w:rsid w:val="00BC3ACD"/>
    <w:rsid w:val="00BC3B20"/>
    <w:rsid w:val="00BC3EE4"/>
    <w:rsid w:val="00BC588C"/>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30B3"/>
    <w:rsid w:val="00BF4342"/>
    <w:rsid w:val="00BF4704"/>
    <w:rsid w:val="00BF4FFC"/>
    <w:rsid w:val="00BF5050"/>
    <w:rsid w:val="00BF50D1"/>
    <w:rsid w:val="00BF5422"/>
    <w:rsid w:val="00BF59B1"/>
    <w:rsid w:val="00BF6625"/>
    <w:rsid w:val="00BF6A78"/>
    <w:rsid w:val="00BF7695"/>
    <w:rsid w:val="00BF79B4"/>
    <w:rsid w:val="00BF7C61"/>
    <w:rsid w:val="00C01427"/>
    <w:rsid w:val="00C014C7"/>
    <w:rsid w:val="00C047AB"/>
    <w:rsid w:val="00C058AF"/>
    <w:rsid w:val="00C075B6"/>
    <w:rsid w:val="00C124C1"/>
    <w:rsid w:val="00C128AE"/>
    <w:rsid w:val="00C12BA8"/>
    <w:rsid w:val="00C13094"/>
    <w:rsid w:val="00C136D6"/>
    <w:rsid w:val="00C13D5B"/>
    <w:rsid w:val="00C141D7"/>
    <w:rsid w:val="00C16EB9"/>
    <w:rsid w:val="00C1711B"/>
    <w:rsid w:val="00C17AE2"/>
    <w:rsid w:val="00C20140"/>
    <w:rsid w:val="00C20F27"/>
    <w:rsid w:val="00C215CF"/>
    <w:rsid w:val="00C2244B"/>
    <w:rsid w:val="00C22711"/>
    <w:rsid w:val="00C2280A"/>
    <w:rsid w:val="00C22B0D"/>
    <w:rsid w:val="00C22BFF"/>
    <w:rsid w:val="00C234CB"/>
    <w:rsid w:val="00C23522"/>
    <w:rsid w:val="00C240C1"/>
    <w:rsid w:val="00C24AED"/>
    <w:rsid w:val="00C250D0"/>
    <w:rsid w:val="00C252AC"/>
    <w:rsid w:val="00C25C0F"/>
    <w:rsid w:val="00C26567"/>
    <w:rsid w:val="00C26923"/>
    <w:rsid w:val="00C26D1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D01"/>
    <w:rsid w:val="00C360B3"/>
    <w:rsid w:val="00C37027"/>
    <w:rsid w:val="00C37B19"/>
    <w:rsid w:val="00C413CB"/>
    <w:rsid w:val="00C41700"/>
    <w:rsid w:val="00C42752"/>
    <w:rsid w:val="00C42973"/>
    <w:rsid w:val="00C44206"/>
    <w:rsid w:val="00C46B95"/>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1531"/>
    <w:rsid w:val="00C827B4"/>
    <w:rsid w:val="00C83214"/>
    <w:rsid w:val="00C8329F"/>
    <w:rsid w:val="00C84F8A"/>
    <w:rsid w:val="00C85BA4"/>
    <w:rsid w:val="00C8618F"/>
    <w:rsid w:val="00C8625D"/>
    <w:rsid w:val="00C87F3F"/>
    <w:rsid w:val="00C90372"/>
    <w:rsid w:val="00C9041F"/>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25C0"/>
    <w:rsid w:val="00CA302B"/>
    <w:rsid w:val="00CA3451"/>
    <w:rsid w:val="00CA35C6"/>
    <w:rsid w:val="00CA4948"/>
    <w:rsid w:val="00CA52F9"/>
    <w:rsid w:val="00CA5368"/>
    <w:rsid w:val="00CA568B"/>
    <w:rsid w:val="00CA573A"/>
    <w:rsid w:val="00CA584D"/>
    <w:rsid w:val="00CA5C58"/>
    <w:rsid w:val="00CB19D7"/>
    <w:rsid w:val="00CB19FE"/>
    <w:rsid w:val="00CB1C3F"/>
    <w:rsid w:val="00CB2364"/>
    <w:rsid w:val="00CB304C"/>
    <w:rsid w:val="00CB3933"/>
    <w:rsid w:val="00CB5010"/>
    <w:rsid w:val="00CB53E8"/>
    <w:rsid w:val="00CB594A"/>
    <w:rsid w:val="00CB5CB2"/>
    <w:rsid w:val="00CB6979"/>
    <w:rsid w:val="00CB7DDE"/>
    <w:rsid w:val="00CC0A3D"/>
    <w:rsid w:val="00CC1F26"/>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5DAD"/>
    <w:rsid w:val="00CD6005"/>
    <w:rsid w:val="00CD72C5"/>
    <w:rsid w:val="00CD79A7"/>
    <w:rsid w:val="00CE0789"/>
    <w:rsid w:val="00CE0E8D"/>
    <w:rsid w:val="00CE16D2"/>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DEB"/>
    <w:rsid w:val="00CF55F9"/>
    <w:rsid w:val="00CF7074"/>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9A0"/>
    <w:rsid w:val="00D16C58"/>
    <w:rsid w:val="00D17019"/>
    <w:rsid w:val="00D17FC8"/>
    <w:rsid w:val="00D20B44"/>
    <w:rsid w:val="00D21168"/>
    <w:rsid w:val="00D2438C"/>
    <w:rsid w:val="00D2585A"/>
    <w:rsid w:val="00D259B0"/>
    <w:rsid w:val="00D26C3F"/>
    <w:rsid w:val="00D27185"/>
    <w:rsid w:val="00D3028A"/>
    <w:rsid w:val="00D33488"/>
    <w:rsid w:val="00D33AB3"/>
    <w:rsid w:val="00D33F24"/>
    <w:rsid w:val="00D34160"/>
    <w:rsid w:val="00D346B8"/>
    <w:rsid w:val="00D34DCA"/>
    <w:rsid w:val="00D35AC8"/>
    <w:rsid w:val="00D36F87"/>
    <w:rsid w:val="00D37E4E"/>
    <w:rsid w:val="00D417D8"/>
    <w:rsid w:val="00D41F78"/>
    <w:rsid w:val="00D42E6C"/>
    <w:rsid w:val="00D4351C"/>
    <w:rsid w:val="00D43B80"/>
    <w:rsid w:val="00D44988"/>
    <w:rsid w:val="00D45B4C"/>
    <w:rsid w:val="00D45BA4"/>
    <w:rsid w:val="00D471AF"/>
    <w:rsid w:val="00D471E2"/>
    <w:rsid w:val="00D4724F"/>
    <w:rsid w:val="00D50519"/>
    <w:rsid w:val="00D51601"/>
    <w:rsid w:val="00D51ECB"/>
    <w:rsid w:val="00D5264C"/>
    <w:rsid w:val="00D52BBC"/>
    <w:rsid w:val="00D537FE"/>
    <w:rsid w:val="00D53CC9"/>
    <w:rsid w:val="00D54A6A"/>
    <w:rsid w:val="00D54B8F"/>
    <w:rsid w:val="00D55848"/>
    <w:rsid w:val="00D55951"/>
    <w:rsid w:val="00D559F0"/>
    <w:rsid w:val="00D57EB6"/>
    <w:rsid w:val="00D608C0"/>
    <w:rsid w:val="00D60D6D"/>
    <w:rsid w:val="00D6128C"/>
    <w:rsid w:val="00D66D8B"/>
    <w:rsid w:val="00D672EF"/>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0485"/>
    <w:rsid w:val="00DA1A3A"/>
    <w:rsid w:val="00DA2351"/>
    <w:rsid w:val="00DA249E"/>
    <w:rsid w:val="00DA2D3D"/>
    <w:rsid w:val="00DA3855"/>
    <w:rsid w:val="00DA4C30"/>
    <w:rsid w:val="00DA6A44"/>
    <w:rsid w:val="00DA7A3C"/>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C9C"/>
    <w:rsid w:val="00E0219D"/>
    <w:rsid w:val="00E04C0F"/>
    <w:rsid w:val="00E0570B"/>
    <w:rsid w:val="00E10913"/>
    <w:rsid w:val="00E10B87"/>
    <w:rsid w:val="00E121CE"/>
    <w:rsid w:val="00E12209"/>
    <w:rsid w:val="00E1478B"/>
    <w:rsid w:val="00E14FAC"/>
    <w:rsid w:val="00E15007"/>
    <w:rsid w:val="00E16277"/>
    <w:rsid w:val="00E16EC7"/>
    <w:rsid w:val="00E17DCC"/>
    <w:rsid w:val="00E219CE"/>
    <w:rsid w:val="00E21D93"/>
    <w:rsid w:val="00E24071"/>
    <w:rsid w:val="00E24EBC"/>
    <w:rsid w:val="00E2522C"/>
    <w:rsid w:val="00E2552F"/>
    <w:rsid w:val="00E2599B"/>
    <w:rsid w:val="00E2710C"/>
    <w:rsid w:val="00E272BD"/>
    <w:rsid w:val="00E27428"/>
    <w:rsid w:val="00E305B4"/>
    <w:rsid w:val="00E31AFA"/>
    <w:rsid w:val="00E31CB7"/>
    <w:rsid w:val="00E324EE"/>
    <w:rsid w:val="00E34DB1"/>
    <w:rsid w:val="00E35931"/>
    <w:rsid w:val="00E359FF"/>
    <w:rsid w:val="00E3699A"/>
    <w:rsid w:val="00E402C5"/>
    <w:rsid w:val="00E402F4"/>
    <w:rsid w:val="00E405F1"/>
    <w:rsid w:val="00E417DB"/>
    <w:rsid w:val="00E4198D"/>
    <w:rsid w:val="00E43054"/>
    <w:rsid w:val="00E43655"/>
    <w:rsid w:val="00E44440"/>
    <w:rsid w:val="00E46013"/>
    <w:rsid w:val="00E47099"/>
    <w:rsid w:val="00E47284"/>
    <w:rsid w:val="00E477C3"/>
    <w:rsid w:val="00E51E16"/>
    <w:rsid w:val="00E52DED"/>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67741"/>
    <w:rsid w:val="00E67CAE"/>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00DA"/>
    <w:rsid w:val="00E91044"/>
    <w:rsid w:val="00E910D3"/>
    <w:rsid w:val="00E92154"/>
    <w:rsid w:val="00E923CF"/>
    <w:rsid w:val="00E93685"/>
    <w:rsid w:val="00E93B65"/>
    <w:rsid w:val="00E93C8C"/>
    <w:rsid w:val="00E94D26"/>
    <w:rsid w:val="00E95111"/>
    <w:rsid w:val="00E95FDF"/>
    <w:rsid w:val="00EA14C8"/>
    <w:rsid w:val="00EA2110"/>
    <w:rsid w:val="00EA283A"/>
    <w:rsid w:val="00EA2C90"/>
    <w:rsid w:val="00EA2E07"/>
    <w:rsid w:val="00EA3356"/>
    <w:rsid w:val="00EA383B"/>
    <w:rsid w:val="00EA48F3"/>
    <w:rsid w:val="00EA60BF"/>
    <w:rsid w:val="00EA7365"/>
    <w:rsid w:val="00EA763F"/>
    <w:rsid w:val="00EA77E9"/>
    <w:rsid w:val="00EB05D0"/>
    <w:rsid w:val="00EB1151"/>
    <w:rsid w:val="00EB1D49"/>
    <w:rsid w:val="00EB23D9"/>
    <w:rsid w:val="00EB39A0"/>
    <w:rsid w:val="00EB559F"/>
    <w:rsid w:val="00EB566C"/>
    <w:rsid w:val="00EB5A18"/>
    <w:rsid w:val="00EB5F3D"/>
    <w:rsid w:val="00EB6C97"/>
    <w:rsid w:val="00EC1CEB"/>
    <w:rsid w:val="00EC1DC0"/>
    <w:rsid w:val="00EC1DC2"/>
    <w:rsid w:val="00EC1E09"/>
    <w:rsid w:val="00EC21EC"/>
    <w:rsid w:val="00EC24B8"/>
    <w:rsid w:val="00EC268C"/>
    <w:rsid w:val="00EC3753"/>
    <w:rsid w:val="00EC4E71"/>
    <w:rsid w:val="00EC505D"/>
    <w:rsid w:val="00EC5F1C"/>
    <w:rsid w:val="00ED0365"/>
    <w:rsid w:val="00ED0865"/>
    <w:rsid w:val="00ED1C60"/>
    <w:rsid w:val="00ED2EB9"/>
    <w:rsid w:val="00ED3722"/>
    <w:rsid w:val="00ED3A31"/>
    <w:rsid w:val="00ED4469"/>
    <w:rsid w:val="00ED44F6"/>
    <w:rsid w:val="00ED5424"/>
    <w:rsid w:val="00ED5F23"/>
    <w:rsid w:val="00ED6DC0"/>
    <w:rsid w:val="00ED7A7A"/>
    <w:rsid w:val="00EE0327"/>
    <w:rsid w:val="00EE038C"/>
    <w:rsid w:val="00EE28C5"/>
    <w:rsid w:val="00EE2F09"/>
    <w:rsid w:val="00EE47C5"/>
    <w:rsid w:val="00EE490C"/>
    <w:rsid w:val="00EE4E57"/>
    <w:rsid w:val="00EE516C"/>
    <w:rsid w:val="00EE5415"/>
    <w:rsid w:val="00EE5738"/>
    <w:rsid w:val="00EE58BD"/>
    <w:rsid w:val="00EE5E59"/>
    <w:rsid w:val="00EE73D0"/>
    <w:rsid w:val="00EE7CB0"/>
    <w:rsid w:val="00EF06F7"/>
    <w:rsid w:val="00EF08A8"/>
    <w:rsid w:val="00EF167B"/>
    <w:rsid w:val="00EF41A8"/>
    <w:rsid w:val="00EF44FB"/>
    <w:rsid w:val="00EF4DF5"/>
    <w:rsid w:val="00EF5122"/>
    <w:rsid w:val="00EF5554"/>
    <w:rsid w:val="00EF5AD8"/>
    <w:rsid w:val="00EF6B90"/>
    <w:rsid w:val="00EF7807"/>
    <w:rsid w:val="00EF79F7"/>
    <w:rsid w:val="00F00027"/>
    <w:rsid w:val="00F006C0"/>
    <w:rsid w:val="00F0125F"/>
    <w:rsid w:val="00F019AA"/>
    <w:rsid w:val="00F0267E"/>
    <w:rsid w:val="00F02686"/>
    <w:rsid w:val="00F030C0"/>
    <w:rsid w:val="00F03291"/>
    <w:rsid w:val="00F03A85"/>
    <w:rsid w:val="00F0459B"/>
    <w:rsid w:val="00F04E15"/>
    <w:rsid w:val="00F05DF3"/>
    <w:rsid w:val="00F069EA"/>
    <w:rsid w:val="00F070E5"/>
    <w:rsid w:val="00F07DDE"/>
    <w:rsid w:val="00F11675"/>
    <w:rsid w:val="00F12557"/>
    <w:rsid w:val="00F13599"/>
    <w:rsid w:val="00F13B28"/>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988"/>
    <w:rsid w:val="00F43FEE"/>
    <w:rsid w:val="00F4492F"/>
    <w:rsid w:val="00F45A72"/>
    <w:rsid w:val="00F46723"/>
    <w:rsid w:val="00F4706D"/>
    <w:rsid w:val="00F476E1"/>
    <w:rsid w:val="00F47D1D"/>
    <w:rsid w:val="00F47F29"/>
    <w:rsid w:val="00F50016"/>
    <w:rsid w:val="00F50A80"/>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1C70"/>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282"/>
    <w:rsid w:val="00F756DD"/>
    <w:rsid w:val="00F77F4E"/>
    <w:rsid w:val="00F80047"/>
    <w:rsid w:val="00F800C7"/>
    <w:rsid w:val="00F8104D"/>
    <w:rsid w:val="00F8153F"/>
    <w:rsid w:val="00F81587"/>
    <w:rsid w:val="00F8288F"/>
    <w:rsid w:val="00F8376E"/>
    <w:rsid w:val="00F84802"/>
    <w:rsid w:val="00F85B72"/>
    <w:rsid w:val="00F86540"/>
    <w:rsid w:val="00F865CE"/>
    <w:rsid w:val="00F8766F"/>
    <w:rsid w:val="00F90282"/>
    <w:rsid w:val="00F91082"/>
    <w:rsid w:val="00F9116D"/>
    <w:rsid w:val="00F91342"/>
    <w:rsid w:val="00F91A9A"/>
    <w:rsid w:val="00F92634"/>
    <w:rsid w:val="00F933F3"/>
    <w:rsid w:val="00F93ABB"/>
    <w:rsid w:val="00F94D79"/>
    <w:rsid w:val="00F9658C"/>
    <w:rsid w:val="00F96E05"/>
    <w:rsid w:val="00F97A7F"/>
    <w:rsid w:val="00FA0889"/>
    <w:rsid w:val="00FA16E7"/>
    <w:rsid w:val="00FA31C7"/>
    <w:rsid w:val="00FA472D"/>
    <w:rsid w:val="00FA681F"/>
    <w:rsid w:val="00FB0CBF"/>
    <w:rsid w:val="00FB18F6"/>
    <w:rsid w:val="00FB2A52"/>
    <w:rsid w:val="00FB3F92"/>
    <w:rsid w:val="00FB52C7"/>
    <w:rsid w:val="00FB57DC"/>
    <w:rsid w:val="00FB6E19"/>
    <w:rsid w:val="00FB71F6"/>
    <w:rsid w:val="00FB78C5"/>
    <w:rsid w:val="00FC07AF"/>
    <w:rsid w:val="00FC0AF8"/>
    <w:rsid w:val="00FC0B69"/>
    <w:rsid w:val="00FC1483"/>
    <w:rsid w:val="00FC1C47"/>
    <w:rsid w:val="00FC3102"/>
    <w:rsid w:val="00FC39ED"/>
    <w:rsid w:val="00FC4419"/>
    <w:rsid w:val="00FC47E2"/>
    <w:rsid w:val="00FC4AA5"/>
    <w:rsid w:val="00FC4B88"/>
    <w:rsid w:val="00FC4BB8"/>
    <w:rsid w:val="00FC5148"/>
    <w:rsid w:val="00FC6524"/>
    <w:rsid w:val="00FC6B58"/>
    <w:rsid w:val="00FC75AC"/>
    <w:rsid w:val="00FC7984"/>
    <w:rsid w:val="00FD01BF"/>
    <w:rsid w:val="00FD0525"/>
    <w:rsid w:val="00FD0AB7"/>
    <w:rsid w:val="00FD297D"/>
    <w:rsid w:val="00FD2D13"/>
    <w:rsid w:val="00FD374D"/>
    <w:rsid w:val="00FD6071"/>
    <w:rsid w:val="00FD633B"/>
    <w:rsid w:val="00FE0794"/>
    <w:rsid w:val="00FE1041"/>
    <w:rsid w:val="00FE1A47"/>
    <w:rsid w:val="00FE24CB"/>
    <w:rsid w:val="00FE323F"/>
    <w:rsid w:val="00FE3473"/>
    <w:rsid w:val="00FE4049"/>
    <w:rsid w:val="00FE4794"/>
    <w:rsid w:val="00FE480F"/>
    <w:rsid w:val="00FE4998"/>
    <w:rsid w:val="00FE57DE"/>
    <w:rsid w:val="00FE68C6"/>
    <w:rsid w:val="00FE7A68"/>
    <w:rsid w:val="00FF0231"/>
    <w:rsid w:val="00FF1C9B"/>
    <w:rsid w:val="00FF1D49"/>
    <w:rsid w:val="00FF203B"/>
    <w:rsid w:val="00FF2562"/>
    <w:rsid w:val="00FF3A41"/>
    <w:rsid w:val="00FF3E5B"/>
    <w:rsid w:val="00FF57E4"/>
    <w:rsid w:val="00FF78E5"/>
    <w:rsid w:val="012C5FAF"/>
    <w:rsid w:val="01AF3D99"/>
    <w:rsid w:val="01BB0858"/>
    <w:rsid w:val="02511F9D"/>
    <w:rsid w:val="03A314B8"/>
    <w:rsid w:val="03D82B98"/>
    <w:rsid w:val="03F83E8B"/>
    <w:rsid w:val="04FE6FA0"/>
    <w:rsid w:val="05067536"/>
    <w:rsid w:val="053439F9"/>
    <w:rsid w:val="055373F9"/>
    <w:rsid w:val="05C56868"/>
    <w:rsid w:val="06472F82"/>
    <w:rsid w:val="06EF31F8"/>
    <w:rsid w:val="07B17346"/>
    <w:rsid w:val="07B72767"/>
    <w:rsid w:val="08077E72"/>
    <w:rsid w:val="08882DD0"/>
    <w:rsid w:val="09364131"/>
    <w:rsid w:val="0981726F"/>
    <w:rsid w:val="09CC2AAC"/>
    <w:rsid w:val="0A652D3E"/>
    <w:rsid w:val="0B326F2A"/>
    <w:rsid w:val="0C01417E"/>
    <w:rsid w:val="0C1E2888"/>
    <w:rsid w:val="0C485916"/>
    <w:rsid w:val="0C92213C"/>
    <w:rsid w:val="0CC2027E"/>
    <w:rsid w:val="0CC96E60"/>
    <w:rsid w:val="0D84032B"/>
    <w:rsid w:val="0DB13EEB"/>
    <w:rsid w:val="0F2A74C4"/>
    <w:rsid w:val="1003589C"/>
    <w:rsid w:val="10A27F31"/>
    <w:rsid w:val="11927058"/>
    <w:rsid w:val="12DB1013"/>
    <w:rsid w:val="135478F7"/>
    <w:rsid w:val="13AF4F03"/>
    <w:rsid w:val="14736E66"/>
    <w:rsid w:val="147F458F"/>
    <w:rsid w:val="149A00A4"/>
    <w:rsid w:val="1534169A"/>
    <w:rsid w:val="158604EE"/>
    <w:rsid w:val="15C03E03"/>
    <w:rsid w:val="162A25EB"/>
    <w:rsid w:val="162C59B0"/>
    <w:rsid w:val="165B0D78"/>
    <w:rsid w:val="16735895"/>
    <w:rsid w:val="167555B3"/>
    <w:rsid w:val="16FD2A55"/>
    <w:rsid w:val="17067C1A"/>
    <w:rsid w:val="17366761"/>
    <w:rsid w:val="177C01F0"/>
    <w:rsid w:val="179E3EFA"/>
    <w:rsid w:val="17CE6630"/>
    <w:rsid w:val="18DD2107"/>
    <w:rsid w:val="19150684"/>
    <w:rsid w:val="19241E67"/>
    <w:rsid w:val="1A202620"/>
    <w:rsid w:val="1A4B40A1"/>
    <w:rsid w:val="1A9B33A3"/>
    <w:rsid w:val="1AFF0AFE"/>
    <w:rsid w:val="1B4F19F8"/>
    <w:rsid w:val="1B8F07BF"/>
    <w:rsid w:val="1BF52AE0"/>
    <w:rsid w:val="1CB46E78"/>
    <w:rsid w:val="1DC93578"/>
    <w:rsid w:val="1ECC44FA"/>
    <w:rsid w:val="1F063325"/>
    <w:rsid w:val="1F9004D9"/>
    <w:rsid w:val="1FB033B3"/>
    <w:rsid w:val="1FBA265C"/>
    <w:rsid w:val="1FBC5DF5"/>
    <w:rsid w:val="1FF90588"/>
    <w:rsid w:val="2056255B"/>
    <w:rsid w:val="207922F1"/>
    <w:rsid w:val="20C3623F"/>
    <w:rsid w:val="21781212"/>
    <w:rsid w:val="219C062D"/>
    <w:rsid w:val="21B83F86"/>
    <w:rsid w:val="221178A8"/>
    <w:rsid w:val="221213CF"/>
    <w:rsid w:val="221949F7"/>
    <w:rsid w:val="22327A92"/>
    <w:rsid w:val="231D53A2"/>
    <w:rsid w:val="236D5383"/>
    <w:rsid w:val="23B7504C"/>
    <w:rsid w:val="24042FDF"/>
    <w:rsid w:val="24571307"/>
    <w:rsid w:val="25110A2A"/>
    <w:rsid w:val="256C0944"/>
    <w:rsid w:val="25971001"/>
    <w:rsid w:val="263C1E3A"/>
    <w:rsid w:val="26446DE3"/>
    <w:rsid w:val="26466385"/>
    <w:rsid w:val="269669E7"/>
    <w:rsid w:val="26A270C1"/>
    <w:rsid w:val="26D7699F"/>
    <w:rsid w:val="277F2368"/>
    <w:rsid w:val="28152000"/>
    <w:rsid w:val="29D75F7F"/>
    <w:rsid w:val="2B0A3077"/>
    <w:rsid w:val="2B774624"/>
    <w:rsid w:val="2C0C70A8"/>
    <w:rsid w:val="2C7A72BE"/>
    <w:rsid w:val="2C9A7D75"/>
    <w:rsid w:val="2CB91637"/>
    <w:rsid w:val="2CC17412"/>
    <w:rsid w:val="2D225EFB"/>
    <w:rsid w:val="2D373E30"/>
    <w:rsid w:val="2D600AE8"/>
    <w:rsid w:val="2D7C1E99"/>
    <w:rsid w:val="2DF57885"/>
    <w:rsid w:val="2E0A0B3E"/>
    <w:rsid w:val="2E12677B"/>
    <w:rsid w:val="2E513756"/>
    <w:rsid w:val="2E9976CE"/>
    <w:rsid w:val="2EC655D0"/>
    <w:rsid w:val="2EF01DEE"/>
    <w:rsid w:val="2F401D3C"/>
    <w:rsid w:val="2F5B24E1"/>
    <w:rsid w:val="2F692538"/>
    <w:rsid w:val="2FA95C88"/>
    <w:rsid w:val="2FAB4328"/>
    <w:rsid w:val="2FFC1B40"/>
    <w:rsid w:val="3041370F"/>
    <w:rsid w:val="30B87FED"/>
    <w:rsid w:val="311E3F22"/>
    <w:rsid w:val="312B50A3"/>
    <w:rsid w:val="31894FD2"/>
    <w:rsid w:val="3192296A"/>
    <w:rsid w:val="32453A27"/>
    <w:rsid w:val="3263064A"/>
    <w:rsid w:val="32A43132"/>
    <w:rsid w:val="32AC0C06"/>
    <w:rsid w:val="32FF7D43"/>
    <w:rsid w:val="33344EF5"/>
    <w:rsid w:val="3537750C"/>
    <w:rsid w:val="3537798C"/>
    <w:rsid w:val="35B9693F"/>
    <w:rsid w:val="35C13FC9"/>
    <w:rsid w:val="364257B6"/>
    <w:rsid w:val="36AE5437"/>
    <w:rsid w:val="3726740A"/>
    <w:rsid w:val="37EA5922"/>
    <w:rsid w:val="38276B93"/>
    <w:rsid w:val="38AC3431"/>
    <w:rsid w:val="38D53A3F"/>
    <w:rsid w:val="392F2E16"/>
    <w:rsid w:val="39E00529"/>
    <w:rsid w:val="3A0B64A7"/>
    <w:rsid w:val="3A574DDA"/>
    <w:rsid w:val="3AD3075A"/>
    <w:rsid w:val="3AF74C02"/>
    <w:rsid w:val="3BC57912"/>
    <w:rsid w:val="3BF12DF1"/>
    <w:rsid w:val="3C0059A5"/>
    <w:rsid w:val="3C134E78"/>
    <w:rsid w:val="3C2E511D"/>
    <w:rsid w:val="3C3534FD"/>
    <w:rsid w:val="3DDD0FE9"/>
    <w:rsid w:val="3DF6345D"/>
    <w:rsid w:val="3E2B5515"/>
    <w:rsid w:val="3E4D4F28"/>
    <w:rsid w:val="3ED92EC4"/>
    <w:rsid w:val="3EE13701"/>
    <w:rsid w:val="3F1A4BB3"/>
    <w:rsid w:val="3FE55BBF"/>
    <w:rsid w:val="40192BA6"/>
    <w:rsid w:val="41766EA9"/>
    <w:rsid w:val="423C3D7C"/>
    <w:rsid w:val="42550A18"/>
    <w:rsid w:val="42874007"/>
    <w:rsid w:val="429D496A"/>
    <w:rsid w:val="42F473A1"/>
    <w:rsid w:val="435C0B15"/>
    <w:rsid w:val="437217EA"/>
    <w:rsid w:val="43AB7156"/>
    <w:rsid w:val="441A626A"/>
    <w:rsid w:val="441E62C0"/>
    <w:rsid w:val="442F5996"/>
    <w:rsid w:val="45325D14"/>
    <w:rsid w:val="45811C7C"/>
    <w:rsid w:val="45906116"/>
    <w:rsid w:val="45931B8C"/>
    <w:rsid w:val="45EF2552"/>
    <w:rsid w:val="468B3EFB"/>
    <w:rsid w:val="470A6193"/>
    <w:rsid w:val="47385210"/>
    <w:rsid w:val="47DC4F5C"/>
    <w:rsid w:val="4876580E"/>
    <w:rsid w:val="48B40671"/>
    <w:rsid w:val="499801C5"/>
    <w:rsid w:val="499B5738"/>
    <w:rsid w:val="499F244D"/>
    <w:rsid w:val="4A973F3F"/>
    <w:rsid w:val="4AEE212F"/>
    <w:rsid w:val="4AF96BC7"/>
    <w:rsid w:val="4B09796F"/>
    <w:rsid w:val="4B862A85"/>
    <w:rsid w:val="4C865FE7"/>
    <w:rsid w:val="4C942161"/>
    <w:rsid w:val="4CEF36E2"/>
    <w:rsid w:val="4CEF4DC5"/>
    <w:rsid w:val="4E232FED"/>
    <w:rsid w:val="4E257655"/>
    <w:rsid w:val="4F372380"/>
    <w:rsid w:val="4F372FFB"/>
    <w:rsid w:val="4FB63101"/>
    <w:rsid w:val="5025116D"/>
    <w:rsid w:val="5053449F"/>
    <w:rsid w:val="50AD405A"/>
    <w:rsid w:val="50B044B3"/>
    <w:rsid w:val="52395ECD"/>
    <w:rsid w:val="52C10D75"/>
    <w:rsid w:val="53C27FF8"/>
    <w:rsid w:val="54841A65"/>
    <w:rsid w:val="549E1A80"/>
    <w:rsid w:val="54C658F4"/>
    <w:rsid w:val="550C4BD7"/>
    <w:rsid w:val="554C1D56"/>
    <w:rsid w:val="555109BF"/>
    <w:rsid w:val="55572986"/>
    <w:rsid w:val="558E2819"/>
    <w:rsid w:val="55D2686D"/>
    <w:rsid w:val="56233DAE"/>
    <w:rsid w:val="565340FA"/>
    <w:rsid w:val="568C38D5"/>
    <w:rsid w:val="56AD5F59"/>
    <w:rsid w:val="56EF2435"/>
    <w:rsid w:val="57B12A52"/>
    <w:rsid w:val="59B43CF0"/>
    <w:rsid w:val="5A2F2CC8"/>
    <w:rsid w:val="5A58174D"/>
    <w:rsid w:val="5B8C5D63"/>
    <w:rsid w:val="5C10702D"/>
    <w:rsid w:val="5C152601"/>
    <w:rsid w:val="5C591F03"/>
    <w:rsid w:val="5C8A1B2F"/>
    <w:rsid w:val="5D16272E"/>
    <w:rsid w:val="5D651E4A"/>
    <w:rsid w:val="5E163F1A"/>
    <w:rsid w:val="5F561B72"/>
    <w:rsid w:val="600E270D"/>
    <w:rsid w:val="606007BB"/>
    <w:rsid w:val="60AC7F66"/>
    <w:rsid w:val="61BF10D9"/>
    <w:rsid w:val="62AC22DC"/>
    <w:rsid w:val="63262318"/>
    <w:rsid w:val="638A3663"/>
    <w:rsid w:val="63A22BFD"/>
    <w:rsid w:val="63AE23C9"/>
    <w:rsid w:val="63E366D8"/>
    <w:rsid w:val="647103F3"/>
    <w:rsid w:val="64E45EF7"/>
    <w:rsid w:val="64F72A0F"/>
    <w:rsid w:val="65230928"/>
    <w:rsid w:val="652F210C"/>
    <w:rsid w:val="6691014E"/>
    <w:rsid w:val="66C87CCE"/>
    <w:rsid w:val="67081B44"/>
    <w:rsid w:val="677435B2"/>
    <w:rsid w:val="67EF75F1"/>
    <w:rsid w:val="684F4F11"/>
    <w:rsid w:val="68740A95"/>
    <w:rsid w:val="69124F16"/>
    <w:rsid w:val="697C3709"/>
    <w:rsid w:val="69BD28AF"/>
    <w:rsid w:val="69CD5C14"/>
    <w:rsid w:val="69CF0D33"/>
    <w:rsid w:val="69EA5331"/>
    <w:rsid w:val="6B1F263F"/>
    <w:rsid w:val="6B9946B3"/>
    <w:rsid w:val="6C276F3A"/>
    <w:rsid w:val="6C5859CA"/>
    <w:rsid w:val="6C7007C7"/>
    <w:rsid w:val="6D0B5802"/>
    <w:rsid w:val="6DE76850"/>
    <w:rsid w:val="6E2C5880"/>
    <w:rsid w:val="6F600293"/>
    <w:rsid w:val="6F861C3B"/>
    <w:rsid w:val="6FB20BD4"/>
    <w:rsid w:val="6FBA59BE"/>
    <w:rsid w:val="6FC019A8"/>
    <w:rsid w:val="70296B3E"/>
    <w:rsid w:val="70611204"/>
    <w:rsid w:val="70A62795"/>
    <w:rsid w:val="7165620F"/>
    <w:rsid w:val="717039F8"/>
    <w:rsid w:val="72FB71D6"/>
    <w:rsid w:val="73612D11"/>
    <w:rsid w:val="74336C68"/>
    <w:rsid w:val="747C06FB"/>
    <w:rsid w:val="74D13AD5"/>
    <w:rsid w:val="74FA2C30"/>
    <w:rsid w:val="754D5C4B"/>
    <w:rsid w:val="75505633"/>
    <w:rsid w:val="764E3F5E"/>
    <w:rsid w:val="76C240A7"/>
    <w:rsid w:val="76DA416A"/>
    <w:rsid w:val="77395A1A"/>
    <w:rsid w:val="775246B7"/>
    <w:rsid w:val="77966D60"/>
    <w:rsid w:val="77D95B8C"/>
    <w:rsid w:val="781E69D1"/>
    <w:rsid w:val="787379B0"/>
    <w:rsid w:val="7901747F"/>
    <w:rsid w:val="7947520C"/>
    <w:rsid w:val="7A263B6B"/>
    <w:rsid w:val="7A3A0F68"/>
    <w:rsid w:val="7A650681"/>
    <w:rsid w:val="7AF46346"/>
    <w:rsid w:val="7B0F5EBF"/>
    <w:rsid w:val="7B130FB9"/>
    <w:rsid w:val="7BD71E38"/>
    <w:rsid w:val="7BF64EDE"/>
    <w:rsid w:val="7C400C1E"/>
    <w:rsid w:val="7DD11708"/>
    <w:rsid w:val="7DEE4A4F"/>
    <w:rsid w:val="7E784A44"/>
    <w:rsid w:val="7EAE6230"/>
    <w:rsid w:val="7EBD579E"/>
    <w:rsid w:val="7EC167BD"/>
    <w:rsid w:val="7F0E3631"/>
    <w:rsid w:val="7F272D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name="toc 3"/>
    <w:lsdException w:uiPriority="39" w:name="toc 4"/>
    <w:lsdException w:uiPriority="39" w:semiHidden="0"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qFormat="1" w:unhideWhenUsed="0"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sdException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6"/>
    <w:qFormat/>
    <w:uiPriority w:val="9"/>
    <w:pPr>
      <w:keepNext/>
      <w:keepLines/>
      <w:spacing w:before="260" w:after="260" w:line="416" w:lineRule="auto"/>
      <w:outlineLvl w:val="1"/>
    </w:pPr>
    <w:rPr>
      <w:rFonts w:ascii="Cambria" w:hAnsi="Cambria"/>
      <w:b/>
      <w:bCs/>
      <w:sz w:val="32"/>
      <w:szCs w:val="32"/>
    </w:rPr>
  </w:style>
  <w:style w:type="paragraph" w:styleId="5">
    <w:name w:val="heading 5"/>
    <w:basedOn w:val="1"/>
    <w:next w:val="6"/>
    <w:link w:val="44"/>
    <w:qFormat/>
    <w:uiPriority w:val="9"/>
    <w:pPr>
      <w:keepNext/>
      <w:keepLines/>
      <w:spacing w:before="280" w:after="290" w:line="376" w:lineRule="auto"/>
      <w:outlineLvl w:val="4"/>
    </w:pPr>
    <w:rPr>
      <w:b/>
      <w:bCs/>
      <w:sz w:val="28"/>
      <w:szCs w:val="28"/>
    </w:rPr>
  </w:style>
  <w:style w:type="paragraph" w:styleId="7">
    <w:name w:val="heading 8"/>
    <w:basedOn w:val="1"/>
    <w:next w:val="1"/>
    <w:link w:val="53"/>
    <w:qFormat/>
    <w:uiPriority w:val="9"/>
    <w:pPr>
      <w:keepNext/>
      <w:keepLines/>
      <w:spacing w:before="240" w:after="64" w:line="320" w:lineRule="auto"/>
      <w:outlineLvl w:val="7"/>
    </w:pPr>
    <w:rPr>
      <w:rFonts w:ascii="等线 Light" w:hAnsi="等线 Light" w:eastAsia="等线 Light"/>
      <w:sz w:val="24"/>
    </w:rPr>
  </w:style>
  <w:style w:type="character" w:default="1" w:styleId="28">
    <w:name w:val="Default Paragraph Font"/>
    <w:unhideWhenUsed/>
    <w:uiPriority w:val="1"/>
  </w:style>
  <w:style w:type="table" w:default="1" w:styleId="26">
    <w:name w:val="Normal Table"/>
    <w:unhideWhenUsed/>
    <w:qFormat/>
    <w:uiPriority w:val="99"/>
    <w:tblPr>
      <w:tblStyle w:val="26"/>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szCs w:val="20"/>
    </w:rPr>
  </w:style>
  <w:style w:type="paragraph" w:styleId="6">
    <w:name w:val="Normal Indent"/>
    <w:basedOn w:val="1"/>
    <w:uiPriority w:val="0"/>
    <w:pPr>
      <w:ind w:firstLine="420"/>
    </w:pPr>
    <w:rPr>
      <w:szCs w:val="20"/>
    </w:rPr>
  </w:style>
  <w:style w:type="paragraph" w:styleId="8">
    <w:name w:val="List Number"/>
    <w:basedOn w:val="1"/>
    <w:uiPriority w:val="0"/>
    <w:pPr>
      <w:widowControl/>
      <w:tabs>
        <w:tab w:val="left" w:pos="454"/>
        <w:tab w:val="left" w:pos="720"/>
        <w:tab w:val="left" w:pos="840"/>
      </w:tabs>
      <w:spacing w:after="50" w:afterLines="50"/>
      <w:ind w:left="454" w:hanging="284"/>
      <w:jc w:val="left"/>
    </w:pPr>
    <w:rPr>
      <w:kern w:val="0"/>
      <w:sz w:val="24"/>
      <w:szCs w:val="20"/>
    </w:rPr>
  </w:style>
  <w:style w:type="paragraph" w:styleId="9">
    <w:name w:val="annotation text"/>
    <w:basedOn w:val="1"/>
    <w:link w:val="64"/>
    <w:qFormat/>
    <w:uiPriority w:val="0"/>
    <w:pPr>
      <w:jc w:val="left"/>
    </w:pPr>
  </w:style>
  <w:style w:type="paragraph" w:styleId="10">
    <w:name w:val="Body Text 3"/>
    <w:basedOn w:val="1"/>
    <w:link w:val="61"/>
    <w:unhideWhenUsed/>
    <w:qFormat/>
    <w:uiPriority w:val="99"/>
    <w:pPr>
      <w:spacing w:after="120"/>
    </w:pPr>
    <w:rPr>
      <w:sz w:val="16"/>
      <w:szCs w:val="16"/>
    </w:rPr>
  </w:style>
  <w:style w:type="paragraph" w:styleId="11">
    <w:name w:val="Body Text"/>
    <w:basedOn w:val="1"/>
    <w:next w:val="12"/>
    <w:link w:val="48"/>
    <w:unhideWhenUsed/>
    <w:uiPriority w:val="0"/>
    <w:pPr>
      <w:spacing w:after="120"/>
    </w:p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
    <w:name w:val="Body Text Indent"/>
    <w:basedOn w:val="1"/>
    <w:link w:val="62"/>
    <w:uiPriority w:val="0"/>
    <w:pPr>
      <w:ind w:firstLine="830" w:firstLineChars="352"/>
    </w:pPr>
    <w:rPr>
      <w:rFonts w:ascii="仿宋_GB2312" w:eastAsia="仿宋_GB2312"/>
      <w:kern w:val="0"/>
      <w:sz w:val="32"/>
      <w:szCs w:val="20"/>
    </w:rPr>
  </w:style>
  <w:style w:type="paragraph" w:styleId="14">
    <w:name w:val="List 2"/>
    <w:basedOn w:val="1"/>
    <w:unhideWhenUsed/>
    <w:uiPriority w:val="99"/>
    <w:pPr>
      <w:ind w:left="100" w:leftChars="200" w:hanging="200" w:hangingChars="200"/>
      <w:contextualSpacing/>
    </w:pPr>
  </w:style>
  <w:style w:type="paragraph" w:styleId="15">
    <w:name w:val="toc 5"/>
    <w:basedOn w:val="1"/>
    <w:next w:val="1"/>
    <w:unhideWhenUsed/>
    <w:uiPriority w:val="39"/>
    <w:pPr>
      <w:ind w:left="1680" w:leftChars="800"/>
    </w:pPr>
  </w:style>
  <w:style w:type="paragraph" w:styleId="16">
    <w:name w:val="Plain Text"/>
    <w:basedOn w:val="1"/>
    <w:link w:val="39"/>
    <w:qFormat/>
    <w:uiPriority w:val="0"/>
    <w:rPr>
      <w:rFonts w:ascii="宋体" w:hAnsi="Courier New"/>
      <w:kern w:val="0"/>
      <w:sz w:val="20"/>
      <w:szCs w:val="21"/>
    </w:rPr>
  </w:style>
  <w:style w:type="paragraph" w:styleId="17">
    <w:name w:val="Date"/>
    <w:basedOn w:val="1"/>
    <w:next w:val="1"/>
    <w:link w:val="43"/>
    <w:unhideWhenUsed/>
    <w:qFormat/>
    <w:uiPriority w:val="99"/>
    <w:pPr>
      <w:ind w:left="100" w:leftChars="2500"/>
    </w:pPr>
  </w:style>
  <w:style w:type="paragraph" w:styleId="18">
    <w:name w:val="Body Text Indent 2"/>
    <w:basedOn w:val="1"/>
    <w:qFormat/>
    <w:uiPriority w:val="0"/>
    <w:pPr>
      <w:spacing w:line="500" w:lineRule="atLeast"/>
      <w:ind w:firstLine="480"/>
    </w:pPr>
    <w:rPr>
      <w:rFonts w:ascii="楷体_GB2312" w:hAnsi="Times New Roman" w:eastAsia="楷体_GB2312" w:cs="Times New Roman"/>
      <w:color w:val="FF0000"/>
    </w:rPr>
  </w:style>
  <w:style w:type="paragraph" w:styleId="19">
    <w:name w:val="Balloon Text"/>
    <w:basedOn w:val="1"/>
    <w:semiHidden/>
    <w:uiPriority w:val="0"/>
    <w:rPr>
      <w:sz w:val="18"/>
      <w:szCs w:val="18"/>
    </w:rPr>
  </w:style>
  <w:style w:type="paragraph" w:styleId="20">
    <w:name w:val="footer"/>
    <w:basedOn w:val="1"/>
    <w:link w:val="57"/>
    <w:unhideWhenUsed/>
    <w:qFormat/>
    <w:uiPriority w:val="99"/>
    <w:pPr>
      <w:tabs>
        <w:tab w:val="center" w:pos="4153"/>
        <w:tab w:val="right" w:pos="8306"/>
      </w:tabs>
      <w:snapToGrid w:val="0"/>
      <w:jc w:val="left"/>
    </w:pPr>
    <w:rPr>
      <w:kern w:val="0"/>
      <w:sz w:val="18"/>
      <w:szCs w:val="18"/>
    </w:rPr>
  </w:style>
  <w:style w:type="paragraph" w:styleId="21">
    <w:name w:val="header"/>
    <w:basedOn w:val="1"/>
    <w:link w:val="56"/>
    <w:unhideWhenUsed/>
    <w:uiPriority w:val="99"/>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unhideWhenUsed/>
    <w:qFormat/>
    <w:uiPriority w:val="39"/>
  </w:style>
  <w:style w:type="paragraph" w:styleId="23">
    <w:name w:val="toc 2"/>
    <w:basedOn w:val="1"/>
    <w:next w:val="1"/>
    <w:unhideWhenUsed/>
    <w:uiPriority w:val="39"/>
    <w:pPr>
      <w:tabs>
        <w:tab w:val="right" w:leader="dot" w:pos="8296"/>
      </w:tabs>
      <w:ind w:left="420" w:leftChars="200"/>
    </w:pPr>
  </w:style>
  <w:style w:type="paragraph" w:styleId="24">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5">
    <w:name w:val="annotation subject"/>
    <w:basedOn w:val="9"/>
    <w:next w:val="9"/>
    <w:link w:val="60"/>
    <w:uiPriority w:val="99"/>
    <w:rPr>
      <w:b/>
      <w:bCs/>
    </w:rPr>
  </w:style>
  <w:style w:type="table" w:styleId="27">
    <w:name w:val="Table Grid"/>
    <w:basedOn w:val="26"/>
    <w:uiPriority w:val="59"/>
    <w:tblPr>
      <w:tblStyle w:val="2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29">
    <w:name w:val="endnote reference"/>
    <w:unhideWhenUsed/>
    <w:uiPriority w:val="99"/>
    <w:rPr>
      <w:vertAlign w:val="superscript"/>
    </w:rPr>
  </w:style>
  <w:style w:type="character" w:styleId="30">
    <w:name w:val="Hyperlink"/>
    <w:unhideWhenUsed/>
    <w:uiPriority w:val="99"/>
    <w:rPr>
      <w:color w:val="0000FF"/>
      <w:u w:val="single"/>
    </w:rPr>
  </w:style>
  <w:style w:type="character" w:styleId="31">
    <w:name w:val="annotation reference"/>
    <w:qFormat/>
    <w:uiPriority w:val="0"/>
    <w:rPr>
      <w:sz w:val="21"/>
      <w:szCs w:val="21"/>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默认段落字体 Para Char Char Char Char Char Char Char Char Char1 Char Char Char Char"/>
    <w:basedOn w:val="1"/>
    <w:uiPriority w:val="0"/>
    <w:rPr>
      <w:rFonts w:ascii="Tahoma" w:hAnsi="Tahoma"/>
      <w:sz w:val="24"/>
      <w:szCs w:val="20"/>
    </w:rPr>
  </w:style>
  <w:style w:type="paragraph" w:customStyle="1" w:styleId="34">
    <w:name w:val="内文正文"/>
    <w:basedOn w:val="1"/>
    <w:qFormat/>
    <w:uiPriority w:val="0"/>
    <w:pPr>
      <w:adjustRightInd w:val="0"/>
      <w:snapToGrid w:val="0"/>
      <w:spacing w:line="400" w:lineRule="atLeast"/>
      <w:ind w:firstLine="200" w:firstLineChars="200"/>
    </w:pPr>
    <w:rPr>
      <w:rFonts w:ascii="宋体"/>
      <w:szCs w:val="20"/>
    </w:rPr>
  </w:style>
  <w:style w:type="paragraph" w:customStyle="1" w:styleId="35">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36">
    <w:name w:val="Table Paragraph"/>
    <w:basedOn w:val="1"/>
    <w:qFormat/>
    <w:uiPriority w:val="1"/>
    <w:pPr>
      <w:jc w:val="left"/>
    </w:pPr>
    <w:rPr>
      <w:rFonts w:ascii="Calibri" w:hAnsi="Calibri"/>
      <w:kern w:val="0"/>
      <w:sz w:val="22"/>
      <w:szCs w:val="22"/>
      <w:lang w:eastAsia="en-US"/>
    </w:rPr>
  </w:style>
  <w:style w:type="paragraph" w:customStyle="1" w:styleId="37">
    <w:name w:val="_Style 34"/>
    <w:unhideWhenUsed/>
    <w:qFormat/>
    <w:uiPriority w:val="99"/>
    <w:rPr>
      <w:rFonts w:ascii="Times New Roman" w:hAnsi="Times New Roman" w:eastAsia="宋体" w:cs="Times New Roman"/>
      <w:kern w:val="2"/>
      <w:sz w:val="21"/>
      <w:szCs w:val="24"/>
      <w:lang w:val="en-US" w:eastAsia="zh-CN" w:bidi="ar-SA"/>
    </w:rPr>
  </w:style>
  <w:style w:type="paragraph" w:styleId="38">
    <w:name w:val="List Paragraph"/>
    <w:basedOn w:val="1"/>
    <w:qFormat/>
    <w:uiPriority w:val="34"/>
    <w:pPr>
      <w:ind w:firstLine="420" w:firstLineChars="200"/>
    </w:pPr>
  </w:style>
  <w:style w:type="character" w:customStyle="1" w:styleId="39">
    <w:name w:val="纯文本 字符3"/>
    <w:link w:val="16"/>
    <w:qFormat/>
    <w:uiPriority w:val="0"/>
    <w:rPr>
      <w:rFonts w:ascii="宋体" w:hAnsi="Courier New" w:eastAsia="宋体" w:cs="Courier New"/>
      <w:szCs w:val="21"/>
    </w:rPr>
  </w:style>
  <w:style w:type="character" w:customStyle="1" w:styleId="40">
    <w:name w:val="正文文本 (26) + 间距 0 pt"/>
    <w:uiPriority w:val="0"/>
    <w:rPr>
      <w:rFonts w:ascii="宋体" w:hAnsi="宋体" w:eastAsia="宋体" w:cs="宋体"/>
      <w:color w:val="000000"/>
      <w:spacing w:val="0"/>
      <w:w w:val="100"/>
      <w:position w:val="0"/>
      <w:sz w:val="22"/>
      <w:szCs w:val="22"/>
      <w:u w:val="none"/>
      <w:lang w:val="zh-CN" w:eastAsia="zh-CN" w:bidi="zh-CN"/>
    </w:rPr>
  </w:style>
  <w:style w:type="character" w:customStyle="1" w:styleId="41">
    <w:name w:val="apple-style-span"/>
    <w:uiPriority w:val="0"/>
  </w:style>
  <w:style w:type="character" w:customStyle="1" w:styleId="42">
    <w:name w:val="批注文字 字符1"/>
    <w:uiPriority w:val="0"/>
    <w:rPr>
      <w:rFonts w:ascii="Times New Roman" w:hAnsi="Times New Roman"/>
      <w:kern w:val="2"/>
      <w:sz w:val="21"/>
      <w:szCs w:val="24"/>
    </w:rPr>
  </w:style>
  <w:style w:type="character" w:customStyle="1" w:styleId="43">
    <w:name w:val="日期 字符"/>
    <w:link w:val="17"/>
    <w:semiHidden/>
    <w:uiPriority w:val="99"/>
    <w:rPr>
      <w:rFonts w:ascii="Times New Roman" w:hAnsi="Times New Roman"/>
      <w:kern w:val="2"/>
      <w:sz w:val="21"/>
      <w:szCs w:val="24"/>
    </w:rPr>
  </w:style>
  <w:style w:type="character" w:customStyle="1" w:styleId="44">
    <w:name w:val="标题 5 字符"/>
    <w:link w:val="5"/>
    <w:semiHidden/>
    <w:uiPriority w:val="9"/>
    <w:rPr>
      <w:rFonts w:ascii="Times New Roman" w:hAnsi="Times New Roman"/>
      <w:b/>
      <w:bCs/>
      <w:kern w:val="2"/>
      <w:sz w:val="28"/>
      <w:szCs w:val="28"/>
    </w:rPr>
  </w:style>
  <w:style w:type="character" w:customStyle="1" w:styleId="45">
    <w:name w:val="标题 2 Char"/>
    <w:uiPriority w:val="9"/>
    <w:rPr>
      <w:rFonts w:ascii="Cambria" w:hAnsi="Cambria" w:eastAsia="宋体" w:cs="Times New Roman"/>
      <w:b/>
      <w:bCs/>
      <w:kern w:val="2"/>
      <w:sz w:val="32"/>
      <w:szCs w:val="32"/>
    </w:rPr>
  </w:style>
  <w:style w:type="character" w:customStyle="1" w:styleId="46">
    <w:name w:val="正文文本 字符"/>
    <w:qFormat/>
    <w:uiPriority w:val="0"/>
    <w:rPr>
      <w:rFonts w:ascii="Times New Roman" w:hAnsi="Times New Roman"/>
      <w:kern w:val="2"/>
      <w:sz w:val="21"/>
      <w:szCs w:val="24"/>
    </w:rPr>
  </w:style>
  <w:style w:type="character" w:customStyle="1" w:styleId="47">
    <w:name w:val="标题 8 Char"/>
    <w:uiPriority w:val="0"/>
    <w:rPr>
      <w:rFonts w:ascii="Arial" w:hAnsi="Arial" w:eastAsia="黑体"/>
      <w:kern w:val="2"/>
      <w:sz w:val="24"/>
      <w:szCs w:val="24"/>
    </w:rPr>
  </w:style>
  <w:style w:type="character" w:customStyle="1" w:styleId="48">
    <w:name w:val="正文文本 字符1"/>
    <w:link w:val="11"/>
    <w:uiPriority w:val="0"/>
    <w:rPr>
      <w:rFonts w:ascii="Times New Roman" w:hAnsi="Times New Roman"/>
      <w:kern w:val="2"/>
      <w:sz w:val="21"/>
      <w:szCs w:val="24"/>
    </w:rPr>
  </w:style>
  <w:style w:type="character" w:customStyle="1" w:styleId="49">
    <w:name w:val="纯文本 字符2"/>
    <w:qFormat/>
    <w:uiPriority w:val="0"/>
    <w:rPr>
      <w:rFonts w:ascii="宋体" w:hAnsi="Courier New" w:eastAsia="宋体" w:cs="Courier New"/>
      <w:szCs w:val="21"/>
    </w:rPr>
  </w:style>
  <w:style w:type="character" w:customStyle="1" w:styleId="50">
    <w:name w:val="批注文字 Char"/>
    <w:qFormat/>
    <w:uiPriority w:val="0"/>
    <w:rPr>
      <w:rFonts w:ascii="Times New Roman" w:hAnsi="Times New Roman"/>
      <w:kern w:val="2"/>
      <w:sz w:val="21"/>
      <w:szCs w:val="24"/>
    </w:rPr>
  </w:style>
  <w:style w:type="character" w:customStyle="1" w:styleId="51">
    <w:name w:val="批注文字 字符"/>
    <w:uiPriority w:val="0"/>
    <w:rPr>
      <w:rFonts w:ascii="Times New Roman" w:hAnsi="Times New Roman"/>
      <w:kern w:val="2"/>
      <w:sz w:val="21"/>
      <w:szCs w:val="24"/>
    </w:rPr>
  </w:style>
  <w:style w:type="character" w:customStyle="1" w:styleId="52">
    <w:name w:val="正文文本 Char"/>
    <w:qFormat/>
    <w:uiPriority w:val="0"/>
    <w:rPr>
      <w:rFonts w:ascii="Times New Roman" w:hAnsi="Times New Roman"/>
      <w:kern w:val="2"/>
      <w:sz w:val="21"/>
      <w:szCs w:val="24"/>
    </w:rPr>
  </w:style>
  <w:style w:type="character" w:customStyle="1" w:styleId="53">
    <w:name w:val="标题 8 字符"/>
    <w:link w:val="7"/>
    <w:semiHidden/>
    <w:qFormat/>
    <w:uiPriority w:val="9"/>
    <w:rPr>
      <w:rFonts w:ascii="等线 Light" w:hAnsi="等线 Light" w:eastAsia="等线 Light" w:cs="Times New Roman"/>
      <w:kern w:val="2"/>
      <w:sz w:val="24"/>
      <w:szCs w:val="24"/>
    </w:rPr>
  </w:style>
  <w:style w:type="character" w:customStyle="1" w:styleId="54">
    <w:name w:val="标题 1 字符1"/>
    <w:qFormat/>
    <w:uiPriority w:val="0"/>
    <w:rPr>
      <w:b/>
      <w:bCs/>
      <w:kern w:val="44"/>
      <w:sz w:val="44"/>
      <w:szCs w:val="44"/>
    </w:rPr>
  </w:style>
  <w:style w:type="character" w:customStyle="1" w:styleId="55">
    <w:name w:val="纯文本 Char"/>
    <w:qFormat/>
    <w:uiPriority w:val="0"/>
    <w:rPr>
      <w:rFonts w:ascii="宋体" w:hAnsi="Courier New" w:eastAsia="宋体" w:cs="Courier New"/>
      <w:szCs w:val="21"/>
    </w:rPr>
  </w:style>
  <w:style w:type="character" w:customStyle="1" w:styleId="56">
    <w:name w:val="页眉 字符"/>
    <w:link w:val="21"/>
    <w:uiPriority w:val="99"/>
    <w:rPr>
      <w:sz w:val="18"/>
      <w:szCs w:val="18"/>
    </w:rPr>
  </w:style>
  <w:style w:type="character" w:customStyle="1" w:styleId="57">
    <w:name w:val="页脚 字符"/>
    <w:link w:val="20"/>
    <w:uiPriority w:val="99"/>
    <w:rPr>
      <w:sz w:val="18"/>
      <w:szCs w:val="18"/>
    </w:rPr>
  </w:style>
  <w:style w:type="character" w:customStyle="1" w:styleId="58">
    <w:name w:val="批注文字 Char2"/>
    <w:uiPriority w:val="0"/>
    <w:rPr>
      <w:rFonts w:ascii="Times New Roman" w:hAnsi="Times New Roman"/>
      <w:kern w:val="2"/>
      <w:sz w:val="21"/>
      <w:szCs w:val="24"/>
    </w:rPr>
  </w:style>
  <w:style w:type="character" w:customStyle="1" w:styleId="59">
    <w:name w:val="纯文本 字符"/>
    <w:qFormat/>
    <w:uiPriority w:val="0"/>
    <w:rPr>
      <w:rFonts w:ascii="宋体" w:hAnsi="Courier New" w:eastAsia="宋体" w:cs="Courier New"/>
      <w:szCs w:val="21"/>
    </w:rPr>
  </w:style>
  <w:style w:type="character" w:customStyle="1" w:styleId="60">
    <w:name w:val="批注主题 字符"/>
    <w:link w:val="25"/>
    <w:uiPriority w:val="99"/>
    <w:rPr>
      <w:rFonts w:ascii="Times New Roman" w:hAnsi="Times New Roman"/>
      <w:b/>
      <w:bCs/>
      <w:kern w:val="2"/>
      <w:sz w:val="21"/>
      <w:szCs w:val="24"/>
    </w:rPr>
  </w:style>
  <w:style w:type="character" w:customStyle="1" w:styleId="61">
    <w:name w:val="正文文本 3 字符"/>
    <w:link w:val="10"/>
    <w:semiHidden/>
    <w:qFormat/>
    <w:uiPriority w:val="99"/>
    <w:rPr>
      <w:kern w:val="2"/>
      <w:sz w:val="16"/>
      <w:szCs w:val="16"/>
    </w:rPr>
  </w:style>
  <w:style w:type="character" w:customStyle="1" w:styleId="62">
    <w:name w:val="正文文本缩进 字符"/>
    <w:link w:val="13"/>
    <w:uiPriority w:val="0"/>
    <w:rPr>
      <w:rFonts w:ascii="仿宋_GB2312" w:hAnsi="Times New Roman" w:eastAsia="仿宋_GB2312" w:cs="Times New Roman"/>
      <w:sz w:val="32"/>
      <w:szCs w:val="20"/>
    </w:rPr>
  </w:style>
  <w:style w:type="character" w:customStyle="1" w:styleId="63">
    <w:name w:val="标题 1 字符"/>
    <w:link w:val="3"/>
    <w:qFormat/>
    <w:uiPriority w:val="9"/>
    <w:rPr>
      <w:b/>
      <w:bCs/>
      <w:kern w:val="44"/>
      <w:sz w:val="44"/>
      <w:szCs w:val="44"/>
    </w:rPr>
  </w:style>
  <w:style w:type="character" w:customStyle="1" w:styleId="64">
    <w:name w:val="批注文字 字符2"/>
    <w:link w:val="9"/>
    <w:uiPriority w:val="0"/>
    <w:rPr>
      <w:rFonts w:ascii="Times New Roman" w:hAnsi="Times New Roman"/>
      <w:kern w:val="2"/>
      <w:sz w:val="21"/>
      <w:szCs w:val="24"/>
    </w:rPr>
  </w:style>
  <w:style w:type="character" w:customStyle="1" w:styleId="65">
    <w:name w:val="textcontents"/>
    <w:uiPriority w:val="0"/>
  </w:style>
  <w:style w:type="character" w:customStyle="1" w:styleId="66">
    <w:name w:val="标题 2 字符"/>
    <w:link w:val="4"/>
    <w:uiPriority w:val="9"/>
    <w:rPr>
      <w:rFonts w:ascii="Cambria" w:hAnsi="Cambria" w:eastAsia="宋体" w:cs="Times New Roman"/>
      <w:b/>
      <w:bCs/>
      <w:kern w:val="2"/>
      <w:sz w:val="32"/>
      <w:szCs w:val="32"/>
    </w:rPr>
  </w:style>
  <w:style w:type="character" w:customStyle="1" w:styleId="67">
    <w:name w:val="纯文本 字符1"/>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使用说明及目录"/>
    </customSectPr>
    <customSectPr>
      <sectNamePr val="使用说明及目录"/>
    </customSectPr>
    <customSectPr>
      <sectNamePr val="第一章 竞争性磋商公告/竞标邀请函"/>
    </customSectPr>
    <customSectPr>
      <sectNamePr val="第二章 供应商须知"/>
    </customSectPr>
    <customSectPr>
      <sectNamePr val="第三章 采购需求"/>
    </customSectPr>
    <customSectPr>
      <sectNamePr val="第四章  评审程序、评审方法和评审标准"/>
    </customSectPr>
    <customSectPr>
      <sectNamePr val="第五章 响应文件格式"/>
    </customSectPr>
    <customSectPr>
      <sectNamePr val="第六章 合同文本"/>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54</Pages>
  <Words>23863</Words>
  <Characters>24917</Characters>
  <Lines>317</Lines>
  <Paragraphs>89</Paragraphs>
  <TotalTime>51</TotalTime>
  <ScaleCrop>false</ScaleCrop>
  <LinksUpToDate>false</LinksUpToDate>
  <CharactersWithSpaces>27897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2020-07-13T02:59:00Z</dcterms:created>
  <dc:creator>唐冰</dc:creator>
  <cp:lastModifiedBy>何佳璇</cp:lastModifiedBy>
  <cp:lastPrinted>2020-04-02T08:20:00Z</cp:lastPrinted>
  <dcterms:modified xsi:type="dcterms:W3CDTF">2023-05-30T01:04:32Z</dcterms:modified>
  <dc:title>竞争性谈判文件规范</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2D5172597B17425AA852931164838D8D</vt:lpwstr>
  </property>
</Properties>
</file>