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ind w:firstLine="15150" w:firstLineChars="2096"/>
        <w:jc w:val="center"/>
        <w:rPr>
          <w:rFonts w:ascii="Times New Roman" w:hAnsi="Times New Roman" w:cs="Times New Roman"/>
          <w:b/>
          <w:bCs/>
          <w:color w:val="auto"/>
          <w:sz w:val="72"/>
          <w:highlight w:val="none"/>
        </w:rPr>
      </w:pPr>
      <w:r>
        <w:rPr>
          <w:rFonts w:hint="eastAsia" w:ascii="Times New Roman" w:cs="Times New Roman"/>
          <w:b/>
          <w:bCs/>
          <w:color w:val="auto"/>
          <w:sz w:val="72"/>
          <w:highlight w:val="none"/>
        </w:rPr>
        <w:t>临</w:t>
      </w:r>
    </w:p>
    <w:p>
      <w:pPr>
        <w:spacing w:after="120"/>
        <w:jc w:val="center"/>
        <w:rPr>
          <w:rFonts w:ascii="方正小标宋_GBK" w:eastAsia="方正小标宋_GBK" w:cs="黑体"/>
          <w:color w:val="auto"/>
          <w:sz w:val="52"/>
          <w:szCs w:val="52"/>
          <w:highlight w:val="none"/>
        </w:rPr>
      </w:pPr>
      <w:r>
        <w:rPr>
          <w:rFonts w:hint="eastAsia" w:ascii="方正小标宋_GBK" w:eastAsia="方正小标宋_GBK" w:cs="黑体"/>
          <w:color w:val="auto"/>
          <w:sz w:val="52"/>
          <w:szCs w:val="52"/>
          <w:highlight w:val="none"/>
        </w:rPr>
        <w:t>广西壮族自治区农村信用社联合社</w:t>
      </w:r>
    </w:p>
    <w:p>
      <w:pPr>
        <w:spacing w:after="120"/>
        <w:jc w:val="center"/>
        <w:rPr>
          <w:rFonts w:ascii="方正小标宋_GBK" w:eastAsia="方正小标宋_GBK" w:cs="黑体"/>
          <w:color w:val="auto"/>
          <w:sz w:val="52"/>
          <w:szCs w:val="52"/>
          <w:highlight w:val="none"/>
        </w:rPr>
      </w:pPr>
      <w:r>
        <w:rPr>
          <w:rFonts w:hint="eastAsia" w:ascii="方正小标宋_GBK" w:eastAsia="方正小标宋_GBK" w:cs="黑体"/>
          <w:color w:val="auto"/>
          <w:sz w:val="52"/>
          <w:szCs w:val="52"/>
          <w:highlight w:val="none"/>
        </w:rPr>
        <w:t>健康保障委托管理服务</w:t>
      </w:r>
    </w:p>
    <w:p>
      <w:pPr>
        <w:adjustRightInd w:val="0"/>
        <w:snapToGrid w:val="0"/>
        <w:jc w:val="center"/>
        <w:rPr>
          <w:rFonts w:ascii="方正小标宋简体" w:eastAsia="方正小标宋简体" w:cs="Times New Roman"/>
          <w:bCs/>
          <w:color w:val="auto"/>
          <w:sz w:val="84"/>
          <w:szCs w:val="84"/>
          <w:highlight w:val="none"/>
        </w:rPr>
      </w:pPr>
    </w:p>
    <w:p>
      <w:pPr>
        <w:adjustRightInd w:val="0"/>
        <w:snapToGrid w:val="0"/>
        <w:jc w:val="center"/>
        <w:rPr>
          <w:rFonts w:ascii="方正小标宋简体" w:eastAsia="方正小标宋简体" w:cs="Times New Roman"/>
          <w:bCs/>
          <w:color w:val="auto"/>
          <w:sz w:val="84"/>
          <w:szCs w:val="84"/>
          <w:highlight w:val="none"/>
        </w:rPr>
      </w:pPr>
    </w:p>
    <w:p>
      <w:pPr>
        <w:adjustRightInd w:val="0"/>
        <w:snapToGrid w:val="0"/>
        <w:jc w:val="center"/>
        <w:rPr>
          <w:rFonts w:ascii="方正小标宋简体" w:eastAsia="方正小标宋简体" w:cs="Times New Roman"/>
          <w:bCs/>
          <w:color w:val="auto"/>
          <w:sz w:val="84"/>
          <w:szCs w:val="84"/>
          <w:highlight w:val="none"/>
        </w:rPr>
      </w:pPr>
      <w:r>
        <w:rPr>
          <w:rFonts w:hint="eastAsia" w:ascii="方正小标宋简体" w:eastAsia="方正小标宋简体" w:cs="Times New Roman"/>
          <w:bCs/>
          <w:color w:val="auto"/>
          <w:sz w:val="84"/>
          <w:szCs w:val="84"/>
          <w:highlight w:val="none"/>
        </w:rPr>
        <w:t>竞争性磋商采购文件</w:t>
      </w:r>
    </w:p>
    <w:p>
      <w:pPr>
        <w:adjustRightInd w:val="0"/>
        <w:snapToGrid w:val="0"/>
        <w:jc w:val="center"/>
        <w:rPr>
          <w:rFonts w:ascii="Times New Roman" w:hAnsi="Times New Roman" w:cs="Times New Roman"/>
          <w:b/>
          <w:bCs/>
          <w:color w:val="auto"/>
          <w:sz w:val="44"/>
          <w:highlight w:val="none"/>
        </w:rPr>
      </w:pPr>
    </w:p>
    <w:p>
      <w:pPr>
        <w:adjustRightInd w:val="0"/>
        <w:snapToGrid w:val="0"/>
        <w:ind w:firstLine="2811" w:firstLineChars="1000"/>
        <w:rPr>
          <w:rFonts w:ascii="Times New Roman" w:hAnsi="Times New Roman" w:cs="Times New Roman"/>
          <w:b/>
          <w:bCs/>
          <w:color w:val="auto"/>
          <w:sz w:val="28"/>
          <w:highlight w:val="none"/>
        </w:rPr>
      </w:pPr>
    </w:p>
    <w:p>
      <w:pPr>
        <w:adjustRightInd w:val="0"/>
        <w:snapToGrid w:val="0"/>
        <w:ind w:firstLine="2811" w:firstLineChars="1000"/>
        <w:rPr>
          <w:rFonts w:ascii="Times New Roman" w:hAnsi="Times New Roman" w:cs="Times New Roman"/>
          <w:b/>
          <w:bCs/>
          <w:color w:val="auto"/>
          <w:sz w:val="28"/>
          <w:highlight w:val="none"/>
        </w:rPr>
      </w:pPr>
    </w:p>
    <w:p>
      <w:pPr>
        <w:adjustRightInd w:val="0"/>
        <w:snapToGrid w:val="0"/>
        <w:ind w:firstLine="2811" w:firstLineChars="1000"/>
        <w:rPr>
          <w:rFonts w:ascii="Times New Roman" w:hAnsi="Times New Roman" w:cs="Times New Roman"/>
          <w:b/>
          <w:bCs/>
          <w:color w:val="auto"/>
          <w:sz w:val="28"/>
          <w:highlight w:val="none"/>
        </w:rPr>
      </w:pPr>
    </w:p>
    <w:p>
      <w:pPr>
        <w:adjustRightInd w:val="0"/>
        <w:snapToGrid w:val="0"/>
        <w:ind w:firstLine="2811" w:firstLineChars="1000"/>
        <w:rPr>
          <w:rFonts w:ascii="Times New Roman" w:hAnsi="Times New Roman" w:cs="Times New Roman"/>
          <w:b/>
          <w:bCs/>
          <w:color w:val="auto"/>
          <w:sz w:val="28"/>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44" w:firstLineChars="545"/>
        <w:rPr>
          <w:rFonts w:ascii="方正小标宋简体" w:eastAsia="方正小标宋简体" w:cs="Times New Roman"/>
          <w:bCs/>
          <w:color w:val="auto"/>
          <w:sz w:val="32"/>
          <w:szCs w:val="32"/>
          <w:highlight w:val="none"/>
        </w:rPr>
      </w:pPr>
    </w:p>
    <w:p>
      <w:pPr>
        <w:spacing w:line="600" w:lineRule="atLeast"/>
        <w:ind w:firstLine="1751" w:firstLineChars="545"/>
        <w:rPr>
          <w:rFonts w:ascii="Times New Roman" w:cs="Times New Roman"/>
          <w:b/>
          <w:bCs/>
          <w:color w:val="auto"/>
          <w:sz w:val="32"/>
          <w:szCs w:val="32"/>
          <w:highlight w:val="none"/>
        </w:rPr>
      </w:pPr>
    </w:p>
    <w:p>
      <w:pPr>
        <w:spacing w:line="800" w:lineRule="exact"/>
        <w:jc w:val="center"/>
        <w:rPr>
          <w:rFonts w:ascii="Times New Roman" w:cs="Times New Roman"/>
          <w:b/>
          <w:bCs/>
          <w:color w:val="auto"/>
          <w:sz w:val="32"/>
          <w:szCs w:val="32"/>
          <w:highlight w:val="none"/>
        </w:rPr>
      </w:pPr>
      <w:r>
        <w:rPr>
          <w:rFonts w:hint="eastAsia" w:ascii="Times New Roman" w:cs="Times New Roman"/>
          <w:b/>
          <w:bCs/>
          <w:color w:val="auto"/>
          <w:sz w:val="32"/>
          <w:szCs w:val="32"/>
          <w:highlight w:val="none"/>
        </w:rPr>
        <w:t>采购人：</w:t>
      </w:r>
      <w:r>
        <w:rPr>
          <w:rFonts w:ascii="Times New Roman" w:cs="Times New Roman"/>
          <w:b/>
          <w:bCs/>
          <w:color w:val="auto"/>
          <w:sz w:val="32"/>
          <w:szCs w:val="32"/>
          <w:highlight w:val="none"/>
        </w:rPr>
        <w:t>广西壮族自治区</w:t>
      </w:r>
      <w:r>
        <w:rPr>
          <w:rFonts w:hint="eastAsia" w:ascii="Times New Roman" w:cs="Times New Roman"/>
          <w:b/>
          <w:bCs/>
          <w:color w:val="auto"/>
          <w:sz w:val="32"/>
          <w:szCs w:val="32"/>
          <w:highlight w:val="none"/>
        </w:rPr>
        <w:t>农村信用社联合社</w:t>
      </w:r>
    </w:p>
    <w:p>
      <w:pPr>
        <w:spacing w:line="800" w:lineRule="exact"/>
        <w:jc w:val="center"/>
        <w:rPr>
          <w:rFonts w:cs="Times New Roman"/>
          <w:b/>
          <w:bCs/>
          <w:color w:val="auto"/>
          <w:sz w:val="32"/>
          <w:szCs w:val="32"/>
          <w:highlight w:val="none"/>
        </w:rPr>
      </w:pPr>
      <w:r>
        <w:rPr>
          <w:rFonts w:hint="eastAsia" w:cs="Times New Roman"/>
          <w:b/>
          <w:bCs/>
          <w:color w:val="auto"/>
          <w:sz w:val="32"/>
          <w:szCs w:val="32"/>
          <w:highlight w:val="none"/>
        </w:rPr>
        <w:t>20</w:t>
      </w:r>
      <w:r>
        <w:rPr>
          <w:rFonts w:cs="Times New Roman"/>
          <w:b/>
          <w:bCs/>
          <w:color w:val="auto"/>
          <w:sz w:val="32"/>
          <w:szCs w:val="32"/>
          <w:highlight w:val="none"/>
        </w:rPr>
        <w:t>22</w:t>
      </w:r>
      <w:r>
        <w:rPr>
          <w:rFonts w:hint="eastAsia" w:cs="Times New Roman"/>
          <w:b/>
          <w:bCs/>
          <w:color w:val="auto"/>
          <w:sz w:val="32"/>
          <w:szCs w:val="32"/>
          <w:highlight w:val="none"/>
        </w:rPr>
        <w:t>年</w:t>
      </w:r>
      <w:r>
        <w:rPr>
          <w:rFonts w:hint="eastAsia" w:cs="Times New Roman"/>
          <w:b/>
          <w:bCs/>
          <w:color w:val="auto"/>
          <w:sz w:val="32"/>
          <w:szCs w:val="32"/>
          <w:highlight w:val="none"/>
          <w:lang w:val="en-US" w:eastAsia="zh-CN"/>
        </w:rPr>
        <w:t>9</w:t>
      </w:r>
      <w:r>
        <w:rPr>
          <w:rFonts w:hint="eastAsia" w:cs="Times New Roman"/>
          <w:b/>
          <w:bCs/>
          <w:color w:val="auto"/>
          <w:sz w:val="32"/>
          <w:szCs w:val="32"/>
          <w:highlight w:val="none"/>
        </w:rPr>
        <w:t>月</w:t>
      </w:r>
    </w:p>
    <w:p>
      <w:pPr>
        <w:spacing w:line="600" w:lineRule="atLeast"/>
        <w:jc w:val="center"/>
        <w:rPr>
          <w:rFonts w:ascii="Times New Roman" w:hAnsi="Times New Roman" w:cs="Times New Roman"/>
          <w:b/>
          <w:bCs/>
          <w:color w:val="auto"/>
          <w:sz w:val="30"/>
          <w:highlight w:val="none"/>
        </w:rPr>
        <w:sectPr>
          <w:headerReference r:id="rId4" w:type="first"/>
          <w:footerReference r:id="rId6" w:type="first"/>
          <w:headerReference r:id="rId3" w:type="default"/>
          <w:footerReference r:id="rId5" w:type="even"/>
          <w:pgSz w:w="11907" w:h="16840"/>
          <w:pgMar w:top="1134" w:right="1134" w:bottom="1418" w:left="1418" w:header="510" w:footer="510" w:gutter="0"/>
          <w:pgNumType w:start="0"/>
          <w:cols w:space="720" w:num="1"/>
        </w:sectPr>
      </w:pPr>
    </w:p>
    <w:p>
      <w:pPr>
        <w:keepNext/>
        <w:keepLines/>
        <w:spacing w:before="260" w:after="260" w:line="416" w:lineRule="auto"/>
        <w:jc w:val="center"/>
        <w:outlineLvl w:val="2"/>
        <w:rPr>
          <w:rFonts w:ascii="方正小标宋简体" w:hAnsi="Times New Roman" w:eastAsia="方正小标宋简体" w:cs="Times New Roman"/>
          <w:bCs/>
          <w:color w:val="auto"/>
          <w:sz w:val="44"/>
          <w:szCs w:val="44"/>
          <w:highlight w:val="none"/>
        </w:rPr>
      </w:pPr>
      <w:r>
        <w:rPr>
          <w:rFonts w:hint="eastAsia" w:ascii="方正小标宋简体" w:eastAsia="方正小标宋简体" w:cs="Times New Roman"/>
          <w:bCs/>
          <w:color w:val="auto"/>
          <w:sz w:val="44"/>
          <w:szCs w:val="44"/>
          <w:highlight w:val="none"/>
        </w:rPr>
        <w:t>磋商采购文件目录</w:t>
      </w:r>
    </w:p>
    <w:p>
      <w:pPr>
        <w:adjustRightInd w:val="0"/>
        <w:snapToGrid w:val="0"/>
        <w:spacing w:line="800" w:lineRule="exact"/>
        <w:ind w:firstLine="1120" w:firstLineChars="400"/>
        <w:rPr>
          <w:rFonts w:ascii="Times New Roman" w:hAnsi="Times New Roman" w:cs="Times New Roman"/>
          <w:color w:val="auto"/>
          <w:sz w:val="28"/>
          <w:szCs w:val="28"/>
          <w:highlight w:val="none"/>
        </w:rPr>
      </w:pPr>
      <w:r>
        <w:rPr>
          <w:rFonts w:hint="eastAsia" w:ascii="Times New Roman" w:cs="Times New Roman"/>
          <w:color w:val="auto"/>
          <w:sz w:val="28"/>
          <w:szCs w:val="28"/>
          <w:highlight w:val="none"/>
        </w:rPr>
        <w:t>第一部分</w:t>
      </w:r>
      <w:r>
        <w:rPr>
          <w:rFonts w:ascii="Times New Roman" w:hAnsi="Times New Roman" w:cs="Times New Roman"/>
          <w:color w:val="auto"/>
          <w:sz w:val="28"/>
          <w:szCs w:val="28"/>
          <w:highlight w:val="none"/>
        </w:rPr>
        <w:t xml:space="preserve">  </w:t>
      </w:r>
      <w:r>
        <w:rPr>
          <w:rFonts w:hint="eastAsia" w:ascii="Times New Roman" w:cs="Times New Roman"/>
          <w:color w:val="auto"/>
          <w:sz w:val="28"/>
          <w:szCs w:val="28"/>
          <w:highlight w:val="none"/>
        </w:rPr>
        <w:t>磋商邀请函</w:t>
      </w:r>
    </w:p>
    <w:p>
      <w:pPr>
        <w:adjustRightInd w:val="0"/>
        <w:snapToGrid w:val="0"/>
        <w:spacing w:line="800" w:lineRule="exact"/>
        <w:ind w:firstLine="1120" w:firstLineChars="400"/>
        <w:rPr>
          <w:rFonts w:ascii="Times New Roman" w:hAnsi="Times New Roman" w:cs="Times New Roman"/>
          <w:color w:val="auto"/>
          <w:sz w:val="28"/>
          <w:szCs w:val="28"/>
          <w:highlight w:val="none"/>
        </w:rPr>
      </w:pPr>
      <w:r>
        <w:rPr>
          <w:rFonts w:hint="eastAsia" w:ascii="Times New Roman" w:cs="Times New Roman"/>
          <w:color w:val="auto"/>
          <w:sz w:val="28"/>
          <w:szCs w:val="28"/>
          <w:highlight w:val="none"/>
        </w:rPr>
        <w:t>第二部分</w:t>
      </w:r>
      <w:r>
        <w:rPr>
          <w:rFonts w:ascii="Times New Roman" w:hAnsi="Times New Roman" w:cs="Times New Roman"/>
          <w:color w:val="auto"/>
          <w:sz w:val="28"/>
          <w:szCs w:val="28"/>
          <w:highlight w:val="none"/>
        </w:rPr>
        <w:t xml:space="preserve">  </w:t>
      </w:r>
      <w:r>
        <w:rPr>
          <w:rFonts w:hint="eastAsia" w:ascii="Times New Roman" w:cs="Times New Roman"/>
          <w:color w:val="auto"/>
          <w:sz w:val="28"/>
          <w:szCs w:val="28"/>
          <w:highlight w:val="none"/>
        </w:rPr>
        <w:t>供应商须知</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第三部分  采购需求</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第四部分</w:t>
      </w:r>
      <w:r>
        <w:rPr>
          <w:rFonts w:ascii="Times New Roman" w:hAnsi="Times New Roman" w:cs="Times New Roman"/>
          <w:color w:val="auto"/>
          <w:sz w:val="28"/>
          <w:szCs w:val="28"/>
          <w:highlight w:val="none"/>
        </w:rPr>
        <w:t xml:space="preserve">  </w:t>
      </w:r>
      <w:r>
        <w:rPr>
          <w:rFonts w:hint="eastAsia" w:ascii="Times New Roman" w:cs="Times New Roman"/>
          <w:color w:val="auto"/>
          <w:sz w:val="28"/>
          <w:szCs w:val="28"/>
          <w:highlight w:val="none"/>
        </w:rPr>
        <w:t>合同样式及条款</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第五部分</w:t>
      </w:r>
      <w:r>
        <w:rPr>
          <w:rFonts w:ascii="Times New Roman" w:hAnsi="Times New Roman" w:cs="Times New Roman"/>
          <w:color w:val="auto"/>
          <w:sz w:val="28"/>
          <w:szCs w:val="28"/>
          <w:highlight w:val="none"/>
        </w:rPr>
        <w:t xml:space="preserve">  </w:t>
      </w:r>
      <w:r>
        <w:rPr>
          <w:rFonts w:hint="eastAsia" w:ascii="Times New Roman" w:hAnsi="Times New Roman" w:cs="Times New Roman"/>
          <w:color w:val="auto"/>
          <w:sz w:val="28"/>
          <w:szCs w:val="28"/>
          <w:highlight w:val="none"/>
        </w:rPr>
        <w:t>评审标准及方法</w:t>
      </w:r>
    </w:p>
    <w:p>
      <w:pPr>
        <w:adjustRightInd w:val="0"/>
        <w:snapToGrid w:val="0"/>
        <w:spacing w:line="800" w:lineRule="exact"/>
        <w:ind w:firstLine="1120" w:firstLineChars="400"/>
        <w:rPr>
          <w:rFonts w:ascii="Times New Roman" w:cs="Times New Roman"/>
          <w:color w:val="auto"/>
          <w:sz w:val="28"/>
          <w:szCs w:val="28"/>
          <w:highlight w:val="none"/>
        </w:rPr>
      </w:pPr>
      <w:r>
        <w:rPr>
          <w:rFonts w:hint="eastAsia" w:ascii="Times New Roman" w:cs="Times New Roman"/>
          <w:color w:val="auto"/>
          <w:sz w:val="28"/>
          <w:szCs w:val="28"/>
          <w:highlight w:val="none"/>
        </w:rPr>
        <w:t>第六部分  响应文件格式</w:t>
      </w:r>
    </w:p>
    <w:p>
      <w:pPr>
        <w:adjustRightInd w:val="0"/>
        <w:snapToGrid w:val="0"/>
        <w:spacing w:line="800" w:lineRule="exact"/>
        <w:ind w:firstLine="1120" w:firstLineChars="400"/>
        <w:rPr>
          <w:rFonts w:ascii="Times New Roman" w:cs="Times New Roman"/>
          <w:color w:val="auto"/>
          <w:sz w:val="28"/>
          <w:szCs w:val="28"/>
          <w:highlight w:val="none"/>
        </w:rPr>
        <w:sectPr>
          <w:headerReference r:id="rId7" w:type="default"/>
          <w:footerReference r:id="rId8" w:type="default"/>
          <w:pgSz w:w="11907" w:h="16840"/>
          <w:pgMar w:top="1134" w:right="1134" w:bottom="1418" w:left="1418" w:header="510" w:footer="510" w:gutter="0"/>
          <w:pgNumType w:start="0"/>
          <w:cols w:space="720" w:num="1"/>
        </w:sectPr>
      </w:pPr>
    </w:p>
    <w:p>
      <w:pPr>
        <w:keepNext/>
        <w:keepLines/>
        <w:spacing w:before="120" w:after="120"/>
        <w:jc w:val="center"/>
        <w:outlineLvl w:val="0"/>
        <w:rPr>
          <w:rFonts w:ascii="方正小标宋简体" w:hAnsi="Times New Roman" w:eastAsia="方正小标宋简体" w:cs="Times New Roman"/>
          <w:bCs/>
          <w:color w:val="auto"/>
          <w:sz w:val="36"/>
          <w:szCs w:val="36"/>
          <w:highlight w:val="none"/>
        </w:rPr>
      </w:pPr>
      <w:bookmarkStart w:id="0" w:name="_Toc335721765"/>
      <w:bookmarkStart w:id="1" w:name="_Toc8088"/>
      <w:bookmarkStart w:id="2" w:name="_Toc334428797"/>
      <w:bookmarkStart w:id="3" w:name="_Toc237946496"/>
      <w:bookmarkStart w:id="4" w:name="_Toc476917700"/>
      <w:r>
        <w:rPr>
          <w:rFonts w:hint="eastAsia" w:ascii="方正小标宋简体" w:hAnsi="Times New Roman" w:eastAsia="方正小标宋简体" w:cs="Times New Roman"/>
          <w:bCs/>
          <w:color w:val="auto"/>
          <w:sz w:val="36"/>
          <w:szCs w:val="36"/>
          <w:highlight w:val="none"/>
        </w:rPr>
        <w:t xml:space="preserve">第一部分  </w:t>
      </w:r>
      <w:bookmarkEnd w:id="0"/>
      <w:bookmarkEnd w:id="1"/>
      <w:bookmarkEnd w:id="2"/>
      <w:bookmarkEnd w:id="3"/>
      <w:bookmarkEnd w:id="4"/>
      <w:r>
        <w:rPr>
          <w:rFonts w:hint="eastAsia" w:ascii="方正小标宋简体" w:hAnsi="Times New Roman" w:eastAsia="方正小标宋简体" w:cs="Times New Roman"/>
          <w:bCs/>
          <w:color w:val="auto"/>
          <w:sz w:val="36"/>
          <w:szCs w:val="36"/>
          <w:highlight w:val="none"/>
        </w:rPr>
        <w:t>磋商邀请函</w:t>
      </w:r>
    </w:p>
    <w:p>
      <w:pPr>
        <w:spacing w:beforeLines="0" w:afterLines="0" w:line="540" w:lineRule="exact"/>
        <w:ind w:firstLine="560" w:firstLineChars="200"/>
        <w:jc w:val="both"/>
        <w:rPr>
          <w:rFonts w:cs="Times New Roman"/>
          <w:color w:val="auto"/>
          <w:sz w:val="28"/>
          <w:szCs w:val="28"/>
          <w:highlight w:val="none"/>
        </w:rPr>
      </w:pPr>
      <w:r>
        <w:rPr>
          <w:rFonts w:hint="eastAsia" w:cs="Times New Roman"/>
          <w:color w:val="auto"/>
          <w:sz w:val="28"/>
          <w:szCs w:val="28"/>
          <w:highlight w:val="none"/>
        </w:rPr>
        <w:t>广西壮族自治区农村信用社联合社对</w:t>
      </w:r>
      <w:r>
        <w:rPr>
          <w:rFonts w:cs="Times New Roman"/>
          <w:color w:val="auto"/>
          <w:sz w:val="28"/>
          <w:szCs w:val="28"/>
          <w:highlight w:val="none"/>
          <w:u w:val="single"/>
        </w:rPr>
        <w:t xml:space="preserve">  </w:t>
      </w:r>
      <w:r>
        <w:rPr>
          <w:rFonts w:hint="eastAsia" w:cs="Times New Roman"/>
          <w:color w:val="auto"/>
          <w:sz w:val="28"/>
          <w:szCs w:val="28"/>
          <w:highlight w:val="none"/>
          <w:u w:val="single"/>
        </w:rPr>
        <w:t xml:space="preserve">健康保障委托管理服务项目  </w:t>
      </w:r>
      <w:r>
        <w:rPr>
          <w:rFonts w:hint="eastAsia" w:cs="Times New Roman"/>
          <w:color w:val="auto"/>
          <w:sz w:val="28"/>
          <w:szCs w:val="28"/>
          <w:highlight w:val="none"/>
        </w:rPr>
        <w:t>通过竞争性磋商进行采购（以下简称“采购”）。现特邀请合格保险供应商参加该项目的竞争性磋商。除非服务要求中另有规定，此项目采购人不接受选择性方案和选择性报价。</w:t>
      </w:r>
    </w:p>
    <w:p>
      <w:pPr>
        <w:numPr>
          <w:ilvl w:val="0"/>
          <w:numId w:val="1"/>
        </w:numPr>
        <w:spacing w:beforeLines="0" w:afterLines="0" w:line="540" w:lineRule="exact"/>
        <w:ind w:firstLine="562" w:firstLineChars="200"/>
        <w:rPr>
          <w:rFonts w:cs="Times New Roman"/>
          <w:b/>
          <w:color w:val="auto"/>
          <w:sz w:val="28"/>
          <w:szCs w:val="28"/>
          <w:highlight w:val="none"/>
        </w:rPr>
      </w:pPr>
      <w:r>
        <w:rPr>
          <w:rFonts w:hint="eastAsia" w:cs="Times New Roman"/>
          <w:b/>
          <w:color w:val="auto"/>
          <w:sz w:val="28"/>
          <w:szCs w:val="28"/>
          <w:highlight w:val="none"/>
        </w:rPr>
        <w:t>采购人：</w:t>
      </w:r>
      <w:r>
        <w:rPr>
          <w:rFonts w:hint="eastAsia" w:cs="Times New Roman"/>
          <w:b w:val="0"/>
          <w:bCs/>
          <w:color w:val="auto"/>
          <w:sz w:val="28"/>
          <w:szCs w:val="28"/>
          <w:highlight w:val="none"/>
        </w:rPr>
        <w:t>广西壮族自治区农村信用社联合社</w:t>
      </w:r>
    </w:p>
    <w:p>
      <w:pPr>
        <w:numPr>
          <w:ilvl w:val="255"/>
          <w:numId w:val="0"/>
        </w:numPr>
        <w:spacing w:beforeLines="0" w:afterLines="0" w:line="540" w:lineRule="exact"/>
        <w:ind w:firstLine="560" w:firstLineChars="0"/>
        <w:rPr>
          <w:rFonts w:hint="eastAsia" w:cs="Times New Roman"/>
          <w:color w:val="auto"/>
          <w:sz w:val="28"/>
          <w:szCs w:val="28"/>
          <w:highlight w:val="none"/>
          <w:u w:val="single"/>
        </w:rPr>
      </w:pPr>
      <w:r>
        <w:rPr>
          <w:rFonts w:hint="eastAsia" w:cs="Times New Roman"/>
          <w:b w:val="0"/>
          <w:bCs/>
          <w:color w:val="auto"/>
          <w:sz w:val="28"/>
          <w:szCs w:val="28"/>
          <w:highlight w:val="none"/>
        </w:rPr>
        <w:t>项目名称：</w:t>
      </w:r>
      <w:r>
        <w:rPr>
          <w:rFonts w:hint="eastAsia" w:cs="Times New Roman"/>
          <w:b w:val="0"/>
          <w:bCs/>
          <w:color w:val="auto"/>
          <w:sz w:val="28"/>
          <w:szCs w:val="28"/>
          <w:highlight w:val="none"/>
          <w:lang w:val="en-US" w:eastAsia="zh-CN"/>
        </w:rPr>
        <w:t>广西壮族自治区农村信用社联合社</w:t>
      </w:r>
      <w:r>
        <w:rPr>
          <w:rFonts w:hint="eastAsia" w:cs="Times New Roman"/>
          <w:color w:val="auto"/>
          <w:sz w:val="28"/>
          <w:szCs w:val="28"/>
          <w:highlight w:val="none"/>
          <w:u w:val="single"/>
        </w:rPr>
        <w:t>健康保障委托管理服务项目</w:t>
      </w:r>
    </w:p>
    <w:p>
      <w:pPr>
        <w:numPr>
          <w:ilvl w:val="255"/>
          <w:numId w:val="0"/>
        </w:numPr>
        <w:spacing w:beforeLines="0" w:afterLines="0" w:line="540" w:lineRule="exact"/>
        <w:ind w:firstLine="0" w:firstLineChars="0"/>
        <w:rPr>
          <w:rFonts w:cs="Times New Roman"/>
          <w:color w:val="auto"/>
          <w:sz w:val="28"/>
          <w:szCs w:val="28"/>
          <w:highlight w:val="none"/>
        </w:rPr>
      </w:pPr>
      <w:r>
        <w:rPr>
          <w:rFonts w:hint="eastAsia" w:cs="Times New Roman"/>
          <w:color w:val="auto"/>
          <w:sz w:val="28"/>
          <w:szCs w:val="28"/>
          <w:highlight w:val="none"/>
          <w:lang w:val="en-US" w:eastAsia="zh-CN"/>
        </w:rPr>
        <w:t xml:space="preserve">    </w:t>
      </w:r>
      <w:r>
        <w:rPr>
          <w:rFonts w:hint="eastAsia" w:cs="Times New Roman"/>
          <w:color w:val="auto"/>
          <w:sz w:val="28"/>
          <w:szCs w:val="28"/>
          <w:highlight w:val="none"/>
        </w:rPr>
        <w:t>采购内容：此项目为广西壮族自治区农村信用社联合社采购</w:t>
      </w:r>
      <w:r>
        <w:rPr>
          <w:rFonts w:hint="eastAsia" w:cs="Times New Roman"/>
          <w:color w:val="auto"/>
          <w:sz w:val="28"/>
          <w:szCs w:val="28"/>
          <w:highlight w:val="none"/>
          <w:lang w:val="en-US" w:eastAsia="zh-CN"/>
        </w:rPr>
        <w:t>健康保障委托管理服务</w:t>
      </w:r>
      <w:r>
        <w:rPr>
          <w:rFonts w:hint="eastAsia" w:cs="Times New Roman"/>
          <w:color w:val="auto"/>
          <w:sz w:val="28"/>
          <w:szCs w:val="28"/>
          <w:highlight w:val="none"/>
        </w:rPr>
        <w:t>，具体采购需求详见磋商文件第三部分。</w:t>
      </w:r>
    </w:p>
    <w:p>
      <w:pPr>
        <w:snapToGrid w:val="0"/>
        <w:spacing w:beforeLines="0" w:afterLines="0" w:line="540" w:lineRule="exact"/>
        <w:ind w:firstLine="562" w:firstLineChars="200"/>
        <w:rPr>
          <w:rFonts w:cs="Times New Roman"/>
          <w:b/>
          <w:color w:val="auto"/>
          <w:sz w:val="28"/>
          <w:szCs w:val="28"/>
          <w:highlight w:val="none"/>
        </w:rPr>
      </w:pPr>
      <w:r>
        <w:rPr>
          <w:rFonts w:hint="eastAsia" w:cs="Times New Roman"/>
          <w:b/>
          <w:color w:val="auto"/>
          <w:sz w:val="28"/>
          <w:szCs w:val="28"/>
          <w:highlight w:val="none"/>
        </w:rPr>
        <w:t>二、合格供应商资格要求</w:t>
      </w:r>
    </w:p>
    <w:p>
      <w:pPr>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2.1 经中国银行保险监督管理委员会（以下简称中国银保监会）批准设立，具有在广西辖区内经营本次</w:t>
      </w:r>
      <w:r>
        <w:rPr>
          <w:rFonts w:hint="eastAsia" w:cs="Times New Roman"/>
          <w:color w:val="auto"/>
          <w:sz w:val="28"/>
          <w:szCs w:val="28"/>
          <w:highlight w:val="none"/>
          <w:lang w:val="en-US" w:eastAsia="zh-CN"/>
        </w:rPr>
        <w:t>采购人所采购</w:t>
      </w:r>
      <w:r>
        <w:rPr>
          <w:rFonts w:hint="eastAsia" w:cs="Times New Roman"/>
          <w:color w:val="auto"/>
          <w:sz w:val="28"/>
          <w:szCs w:val="28"/>
          <w:highlight w:val="none"/>
        </w:rPr>
        <w:t>险种业务资格的省级保险机构，并具有独立承担民事责任的能力，须提供营业执照（副本复印件）并加盖公章。</w:t>
      </w:r>
      <w:r>
        <w:rPr>
          <w:rStyle w:val="24"/>
          <w:rFonts w:hint="eastAsia" w:cs="Times New Roman"/>
          <w:color w:val="auto"/>
          <w:sz w:val="28"/>
          <w:szCs w:val="28"/>
          <w:highlight w:val="none"/>
        </w:rPr>
        <w:t>供应商如为分公司，则必须持有总公司的有效授权</w:t>
      </w:r>
      <w:r>
        <w:rPr>
          <w:rFonts w:hint="eastAsia" w:cs="Times New Roman"/>
          <w:color w:val="auto"/>
          <w:sz w:val="28"/>
          <w:szCs w:val="28"/>
          <w:highlight w:val="none"/>
        </w:rPr>
        <w:t>。</w:t>
      </w:r>
    </w:p>
    <w:p>
      <w:pPr>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2.2 资质要求：供应商应具有《健康保险管理办法》关于经营健康保障委托管理所需的业务资质，具备中国银行保险监督管理委员会（或中国保险监督管理委员会）颁发的“经营保险业务许可证”，响应文件应提供相关证明文件并加盖公章。</w:t>
      </w:r>
    </w:p>
    <w:p>
      <w:pPr>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2.3 财务要求：供应商须具有良好的商业信誉和健全的财务会计制度。</w:t>
      </w:r>
    </w:p>
    <w:p>
      <w:pPr>
        <w:tabs>
          <w:tab w:val="left" w:pos="3586"/>
        </w:tabs>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2.4 供应商须有依法缴纳税收和社会保障资金的良好记录。</w:t>
      </w:r>
    </w:p>
    <w:p>
      <w:pPr>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2.5 本项目不接受联合体</w:t>
      </w:r>
      <w:r>
        <w:rPr>
          <w:rFonts w:hint="eastAsia" w:cs="Times New Roman"/>
          <w:color w:val="auto"/>
          <w:sz w:val="28"/>
          <w:szCs w:val="28"/>
          <w:highlight w:val="none"/>
          <w:lang w:val="en-US" w:eastAsia="zh-CN"/>
        </w:rPr>
        <w:t>响应</w:t>
      </w:r>
      <w:r>
        <w:rPr>
          <w:rFonts w:hint="eastAsia" w:cs="Times New Roman"/>
          <w:color w:val="auto"/>
          <w:sz w:val="28"/>
          <w:szCs w:val="28"/>
          <w:highlight w:val="none"/>
          <w:lang w:eastAsia="zh-CN"/>
        </w:rPr>
        <w:t>。</w:t>
      </w:r>
    </w:p>
    <w:p>
      <w:pPr>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2.6 近三年内，在经营活动中没有重大违法记录和不良信用记录（提供“信用中国”网站（www.creditchina.gov.cn）或中国政府采购网（www.ccgp.gov.cn）信用记录查询结果完整截图并加盖单位公章），或未被国家有关部门纳入失信企业（黑）名单、被执行人的，或未被监管部门处罚导致暂停或终止业务。</w:t>
      </w:r>
    </w:p>
    <w:p>
      <w:pPr>
        <w:pStyle w:val="12"/>
        <w:spacing w:beforeLines="0" w:afterLines="0" w:line="540" w:lineRule="exact"/>
        <w:rPr>
          <w:color w:val="auto"/>
          <w:highlight w:val="none"/>
        </w:rPr>
      </w:pPr>
      <w:r>
        <w:rPr>
          <w:rFonts w:hint="eastAsia" w:ascii="宋体" w:hAnsi="宋体"/>
          <w:color w:val="auto"/>
          <w:sz w:val="28"/>
          <w:szCs w:val="28"/>
          <w:highlight w:val="none"/>
        </w:rPr>
        <w:t xml:space="preserve">    2.7供应商不得分包和转包。</w:t>
      </w:r>
    </w:p>
    <w:p>
      <w:pPr>
        <w:snapToGrid w:val="0"/>
        <w:spacing w:beforeLines="0" w:afterLines="0" w:line="540" w:lineRule="exact"/>
        <w:ind w:firstLine="562" w:firstLineChars="200"/>
        <w:rPr>
          <w:rFonts w:cs="Times New Roman"/>
          <w:b/>
          <w:color w:val="auto"/>
          <w:sz w:val="28"/>
          <w:szCs w:val="28"/>
          <w:highlight w:val="none"/>
        </w:rPr>
      </w:pPr>
      <w:r>
        <w:rPr>
          <w:rFonts w:hint="eastAsia" w:cs="Times New Roman"/>
          <w:b/>
          <w:color w:val="auto"/>
          <w:sz w:val="28"/>
          <w:szCs w:val="28"/>
          <w:highlight w:val="none"/>
        </w:rPr>
        <w:t>三、竞争性磋商文件的获取</w:t>
      </w:r>
    </w:p>
    <w:p>
      <w:pPr>
        <w:tabs>
          <w:tab w:val="left" w:pos="3586"/>
        </w:tabs>
        <w:snapToGrid w:val="0"/>
        <w:spacing w:beforeLines="0" w:afterLines="0" w:line="540" w:lineRule="exact"/>
        <w:ind w:firstLine="560" w:firstLineChars="200"/>
        <w:rPr>
          <w:rFonts w:hint="eastAsia" w:cs="Times New Roman"/>
          <w:color w:val="auto"/>
          <w:sz w:val="28"/>
          <w:szCs w:val="28"/>
          <w:highlight w:val="none"/>
        </w:rPr>
      </w:pPr>
      <w:r>
        <w:rPr>
          <w:rFonts w:hint="eastAsia" w:cs="Times New Roman"/>
          <w:color w:val="auto"/>
          <w:sz w:val="28"/>
          <w:szCs w:val="28"/>
          <w:highlight w:val="none"/>
        </w:rPr>
        <w:t>3.1时间：2022年</w:t>
      </w:r>
      <w:r>
        <w:rPr>
          <w:rFonts w:hint="eastAsia" w:cs="Times New Roman"/>
          <w:color w:val="auto"/>
          <w:sz w:val="28"/>
          <w:szCs w:val="28"/>
          <w:highlight w:val="none"/>
          <w:lang w:val="en-US" w:eastAsia="zh-CN"/>
        </w:rPr>
        <w:t>9</w:t>
      </w:r>
      <w:r>
        <w:rPr>
          <w:rFonts w:hint="eastAsia" w:cs="Times New Roman"/>
          <w:color w:val="auto"/>
          <w:sz w:val="28"/>
          <w:szCs w:val="28"/>
          <w:highlight w:val="none"/>
        </w:rPr>
        <w:t>月</w:t>
      </w:r>
      <w:r>
        <w:rPr>
          <w:rFonts w:hint="eastAsia" w:cs="Times New Roman"/>
          <w:color w:val="auto"/>
          <w:sz w:val="28"/>
          <w:szCs w:val="28"/>
          <w:highlight w:val="none"/>
          <w:lang w:val="en-US" w:eastAsia="zh-CN"/>
        </w:rPr>
        <w:t>21</w:t>
      </w:r>
      <w:r>
        <w:rPr>
          <w:rFonts w:hint="eastAsia" w:cs="Times New Roman"/>
          <w:color w:val="auto"/>
          <w:sz w:val="28"/>
          <w:szCs w:val="28"/>
          <w:highlight w:val="none"/>
        </w:rPr>
        <w:t>日起至2022年</w:t>
      </w:r>
      <w:r>
        <w:rPr>
          <w:rFonts w:hint="eastAsia" w:cs="Times New Roman"/>
          <w:color w:val="auto"/>
          <w:sz w:val="28"/>
          <w:szCs w:val="28"/>
          <w:highlight w:val="none"/>
          <w:lang w:val="en-US" w:eastAsia="zh-CN"/>
        </w:rPr>
        <w:t>9</w:t>
      </w:r>
      <w:r>
        <w:rPr>
          <w:rFonts w:hint="eastAsia" w:cs="Times New Roman"/>
          <w:color w:val="auto"/>
          <w:sz w:val="28"/>
          <w:szCs w:val="28"/>
          <w:highlight w:val="none"/>
        </w:rPr>
        <w:t>月</w:t>
      </w:r>
      <w:r>
        <w:rPr>
          <w:rFonts w:hint="eastAsia" w:cs="Times New Roman"/>
          <w:color w:val="auto"/>
          <w:sz w:val="28"/>
          <w:szCs w:val="28"/>
          <w:highlight w:val="none"/>
          <w:lang w:val="en-US" w:eastAsia="zh-CN"/>
        </w:rPr>
        <w:t>30</w:t>
      </w:r>
      <w:r>
        <w:rPr>
          <w:rFonts w:hint="eastAsia" w:cs="Times New Roman"/>
          <w:color w:val="auto"/>
          <w:sz w:val="28"/>
          <w:szCs w:val="28"/>
          <w:highlight w:val="none"/>
        </w:rPr>
        <w:t>日止</w:t>
      </w:r>
    </w:p>
    <w:p>
      <w:pPr>
        <w:tabs>
          <w:tab w:val="left" w:pos="3586"/>
        </w:tabs>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3.2地点：广西壮族自治区农村信用社联合社官方网站（http://www.gx966888.com）</w:t>
      </w:r>
    </w:p>
    <w:p>
      <w:pPr>
        <w:tabs>
          <w:tab w:val="left" w:pos="3586"/>
        </w:tabs>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3.3方式：网站首页“重要公告”之“通知公告”栏目中下载采购文件</w:t>
      </w:r>
    </w:p>
    <w:p>
      <w:pPr>
        <w:numPr>
          <w:ilvl w:val="0"/>
          <w:numId w:val="2"/>
        </w:numPr>
        <w:snapToGrid w:val="0"/>
        <w:spacing w:beforeLines="0" w:afterLines="0" w:line="540" w:lineRule="exact"/>
        <w:ind w:firstLine="562" w:firstLineChars="200"/>
        <w:rPr>
          <w:rFonts w:cs="Times New Roman"/>
          <w:b/>
          <w:color w:val="auto"/>
          <w:sz w:val="28"/>
          <w:szCs w:val="28"/>
          <w:highlight w:val="none"/>
        </w:rPr>
      </w:pPr>
      <w:r>
        <w:rPr>
          <w:rFonts w:hint="eastAsia" w:cs="Times New Roman"/>
          <w:b/>
          <w:color w:val="auto"/>
          <w:sz w:val="28"/>
          <w:szCs w:val="28"/>
          <w:highlight w:val="none"/>
        </w:rPr>
        <w:t>响应文件的递交</w:t>
      </w:r>
    </w:p>
    <w:p>
      <w:pPr>
        <w:pStyle w:val="80"/>
        <w:spacing w:beforeLines="0" w:afterLines="0" w:line="540" w:lineRule="exact"/>
        <w:ind w:firstLine="420" w:firstLineChars="150"/>
        <w:rPr>
          <w:rFonts w:ascii="宋体" w:hAnsi="宋体" w:eastAsia="宋体" w:cs="Times New Roman"/>
          <w:color w:val="auto"/>
          <w:sz w:val="28"/>
          <w:szCs w:val="28"/>
          <w:highlight w:val="none"/>
        </w:rPr>
      </w:pPr>
      <w:r>
        <w:rPr>
          <w:rFonts w:hint="eastAsia" w:ascii="宋体" w:eastAsia="宋体" w:cs="Times New Roman"/>
          <w:color w:val="auto"/>
          <w:sz w:val="28"/>
          <w:szCs w:val="28"/>
          <w:highlight w:val="none"/>
        </w:rPr>
        <w:t xml:space="preserve"> 4.1响应文件递交截止时间：20</w:t>
      </w:r>
      <w:r>
        <w:rPr>
          <w:rFonts w:ascii="宋体" w:eastAsia="宋体" w:cs="Times New Roman"/>
          <w:color w:val="auto"/>
          <w:sz w:val="28"/>
          <w:szCs w:val="28"/>
          <w:highlight w:val="none"/>
        </w:rPr>
        <w:t>22</w:t>
      </w:r>
      <w:r>
        <w:rPr>
          <w:rFonts w:hint="eastAsia" w:ascii="宋体" w:eastAsia="宋体" w:cs="Times New Roman"/>
          <w:color w:val="auto"/>
          <w:sz w:val="28"/>
          <w:szCs w:val="28"/>
          <w:highlight w:val="none"/>
        </w:rPr>
        <w:t>年</w:t>
      </w:r>
      <w:r>
        <w:rPr>
          <w:rFonts w:hint="eastAsia" w:ascii="宋体" w:eastAsia="宋体" w:cs="Times New Roman"/>
          <w:color w:val="auto"/>
          <w:sz w:val="28"/>
          <w:szCs w:val="28"/>
          <w:highlight w:val="none"/>
          <w:lang w:val="en-US" w:eastAsia="zh-CN"/>
        </w:rPr>
        <w:t>9</w:t>
      </w:r>
      <w:r>
        <w:rPr>
          <w:rFonts w:hint="eastAsia" w:ascii="宋体" w:eastAsia="宋体" w:cs="Times New Roman"/>
          <w:color w:val="auto"/>
          <w:sz w:val="28"/>
          <w:szCs w:val="28"/>
          <w:highlight w:val="none"/>
        </w:rPr>
        <w:t>月</w:t>
      </w:r>
      <w:r>
        <w:rPr>
          <w:rFonts w:hint="eastAsia" w:ascii="宋体" w:eastAsia="宋体" w:cs="Times New Roman"/>
          <w:color w:val="auto"/>
          <w:sz w:val="28"/>
          <w:szCs w:val="28"/>
          <w:highlight w:val="none"/>
          <w:lang w:val="en-US" w:eastAsia="zh-CN"/>
        </w:rPr>
        <w:t>30日上午9:00</w:t>
      </w:r>
      <w:r>
        <w:rPr>
          <w:rFonts w:hint="eastAsia" w:ascii="宋体" w:eastAsia="宋体" w:cs="Times New Roman"/>
          <w:color w:val="auto"/>
          <w:sz w:val="28"/>
          <w:szCs w:val="28"/>
          <w:highlight w:val="none"/>
        </w:rPr>
        <w:t xml:space="preserve">前（北京时间）。 </w:t>
      </w:r>
      <w:r>
        <w:rPr>
          <w:rFonts w:hint="eastAsia" w:ascii="宋体" w:hAnsi="宋体" w:eastAsia="宋体" w:cs="Times New Roman"/>
          <w:color w:val="auto"/>
          <w:sz w:val="28"/>
          <w:szCs w:val="28"/>
          <w:highlight w:val="none"/>
        </w:rPr>
        <w:t>截止时间后送达的响应文件将被拒收。</w:t>
      </w:r>
    </w:p>
    <w:p>
      <w:pPr>
        <w:snapToGrid w:val="0"/>
        <w:spacing w:beforeLines="0" w:afterLines="0" w:line="540" w:lineRule="exact"/>
        <w:rPr>
          <w:rFonts w:cs="Times New Roman"/>
          <w:color w:val="auto"/>
          <w:sz w:val="28"/>
          <w:szCs w:val="28"/>
          <w:highlight w:val="none"/>
        </w:rPr>
      </w:pPr>
      <w:r>
        <w:rPr>
          <w:rFonts w:hint="eastAsia" w:cs="Times New Roman"/>
          <w:color w:val="auto"/>
          <w:sz w:val="28"/>
          <w:szCs w:val="28"/>
          <w:highlight w:val="none"/>
        </w:rPr>
        <w:t xml:space="preserve">    4.2响应文件递交地点：广西壮族自治区农村信用社联合社</w:t>
      </w:r>
      <w:r>
        <w:rPr>
          <w:rFonts w:hint="eastAsia" w:cs="Times New Roman"/>
          <w:color w:val="auto"/>
          <w:sz w:val="28"/>
          <w:szCs w:val="28"/>
          <w:highlight w:val="none"/>
          <w:lang w:val="en-US" w:eastAsia="zh-CN"/>
        </w:rPr>
        <w:t>60</w:t>
      </w:r>
      <w:r>
        <w:rPr>
          <w:rFonts w:hint="eastAsia" w:cs="Times New Roman"/>
          <w:color w:val="auto"/>
          <w:sz w:val="28"/>
          <w:szCs w:val="28"/>
          <w:highlight w:val="none"/>
        </w:rPr>
        <w:t>楼</w:t>
      </w:r>
      <w:r>
        <w:rPr>
          <w:rFonts w:hint="eastAsia" w:cs="Times New Roman"/>
          <w:color w:val="auto"/>
          <w:sz w:val="28"/>
          <w:szCs w:val="28"/>
          <w:highlight w:val="none"/>
          <w:lang w:val="en-US" w:eastAsia="zh-CN"/>
        </w:rPr>
        <w:t>6040</w:t>
      </w:r>
      <w:r>
        <w:rPr>
          <w:rFonts w:hint="eastAsia" w:cs="Times New Roman"/>
          <w:color w:val="auto"/>
          <w:sz w:val="28"/>
          <w:szCs w:val="28"/>
          <w:highlight w:val="none"/>
        </w:rPr>
        <w:t>办公室（广西南宁市民族大道148号），如有变化，另行通知。</w:t>
      </w:r>
    </w:p>
    <w:p>
      <w:pPr>
        <w:snapToGrid w:val="0"/>
        <w:spacing w:beforeLines="0" w:afterLines="0" w:line="540" w:lineRule="exact"/>
        <w:ind w:firstLine="562" w:firstLineChars="200"/>
        <w:rPr>
          <w:rFonts w:cs="Times New Roman"/>
          <w:b/>
          <w:color w:val="auto"/>
          <w:sz w:val="28"/>
          <w:szCs w:val="28"/>
          <w:highlight w:val="none"/>
        </w:rPr>
      </w:pPr>
      <w:r>
        <w:rPr>
          <w:rFonts w:hint="eastAsia" w:cs="Times New Roman"/>
          <w:b/>
          <w:color w:val="auto"/>
          <w:sz w:val="28"/>
          <w:szCs w:val="28"/>
          <w:highlight w:val="none"/>
        </w:rPr>
        <w:t>五、竞争性磋商时间及地点</w:t>
      </w:r>
    </w:p>
    <w:p>
      <w:pPr>
        <w:snapToGrid w:val="0"/>
        <w:spacing w:beforeLines="0" w:afterLines="0" w:line="540" w:lineRule="exact"/>
        <w:rPr>
          <w:rFonts w:cs="Times New Roman"/>
          <w:bCs/>
          <w:color w:val="auto"/>
          <w:sz w:val="28"/>
          <w:szCs w:val="28"/>
          <w:highlight w:val="none"/>
        </w:rPr>
      </w:pPr>
      <w:r>
        <w:rPr>
          <w:rFonts w:hint="eastAsia" w:cs="Times New Roman"/>
          <w:bCs/>
          <w:color w:val="auto"/>
          <w:sz w:val="28"/>
          <w:szCs w:val="28"/>
          <w:highlight w:val="none"/>
        </w:rPr>
        <w:t xml:space="preserve">    5.1 磋商时间：</w:t>
      </w:r>
      <w:r>
        <w:rPr>
          <w:rFonts w:hint="eastAsia" w:cs="Times New Roman"/>
          <w:bCs/>
          <w:color w:val="auto"/>
          <w:sz w:val="28"/>
          <w:szCs w:val="28"/>
          <w:highlight w:val="none"/>
          <w:lang w:val="en-US" w:eastAsia="zh-CN"/>
        </w:rPr>
        <w:t>北京时间</w:t>
      </w:r>
      <w:r>
        <w:rPr>
          <w:rFonts w:hint="eastAsia" w:cs="Times New Roman"/>
          <w:bCs/>
          <w:color w:val="auto"/>
          <w:sz w:val="28"/>
          <w:szCs w:val="28"/>
          <w:highlight w:val="none"/>
        </w:rPr>
        <w:t>2022 年</w:t>
      </w:r>
      <w:r>
        <w:rPr>
          <w:rFonts w:hint="eastAsia" w:cs="Times New Roman"/>
          <w:bCs/>
          <w:color w:val="auto"/>
          <w:sz w:val="28"/>
          <w:szCs w:val="28"/>
          <w:highlight w:val="none"/>
          <w:lang w:val="en-US" w:eastAsia="zh-CN"/>
        </w:rPr>
        <w:t>9</w:t>
      </w:r>
      <w:r>
        <w:rPr>
          <w:rFonts w:hint="eastAsia" w:cs="Times New Roman"/>
          <w:bCs/>
          <w:color w:val="auto"/>
          <w:sz w:val="28"/>
          <w:szCs w:val="28"/>
          <w:highlight w:val="none"/>
        </w:rPr>
        <w:t>月</w:t>
      </w:r>
      <w:r>
        <w:rPr>
          <w:rFonts w:hint="eastAsia" w:cs="Times New Roman"/>
          <w:bCs/>
          <w:color w:val="auto"/>
          <w:sz w:val="28"/>
          <w:szCs w:val="28"/>
          <w:highlight w:val="none"/>
          <w:lang w:val="en-US" w:eastAsia="zh-CN"/>
        </w:rPr>
        <w:t>30</w:t>
      </w:r>
      <w:r>
        <w:rPr>
          <w:rFonts w:hint="eastAsia" w:cs="Times New Roman"/>
          <w:bCs/>
          <w:color w:val="auto"/>
          <w:sz w:val="28"/>
          <w:szCs w:val="28"/>
          <w:highlight w:val="none"/>
        </w:rPr>
        <w:t>日</w:t>
      </w:r>
      <w:r>
        <w:rPr>
          <w:rFonts w:hint="eastAsia" w:cs="Times New Roman"/>
          <w:bCs/>
          <w:color w:val="auto"/>
          <w:sz w:val="28"/>
          <w:szCs w:val="28"/>
          <w:highlight w:val="none"/>
          <w:lang w:val="en-US" w:eastAsia="zh-CN"/>
        </w:rPr>
        <w:t>上午9:30</w:t>
      </w:r>
      <w:r>
        <w:rPr>
          <w:rFonts w:hint="eastAsia" w:cs="Times New Roman"/>
          <w:bCs/>
          <w:color w:val="auto"/>
          <w:sz w:val="28"/>
          <w:szCs w:val="28"/>
          <w:highlight w:val="none"/>
        </w:rPr>
        <w:t>。</w:t>
      </w:r>
    </w:p>
    <w:p>
      <w:pPr>
        <w:snapToGrid w:val="0"/>
        <w:spacing w:beforeLines="0" w:afterLines="0" w:line="540" w:lineRule="exact"/>
        <w:ind w:firstLine="560" w:firstLineChars="200"/>
        <w:rPr>
          <w:rFonts w:cs="Times New Roman"/>
          <w:bCs/>
          <w:color w:val="auto"/>
          <w:sz w:val="28"/>
          <w:szCs w:val="28"/>
          <w:highlight w:val="none"/>
        </w:rPr>
      </w:pPr>
      <w:r>
        <w:rPr>
          <w:rFonts w:hint="eastAsia" w:cs="Times New Roman"/>
          <w:bCs/>
          <w:color w:val="auto"/>
          <w:sz w:val="28"/>
          <w:szCs w:val="28"/>
          <w:highlight w:val="none"/>
        </w:rPr>
        <w:t xml:space="preserve">5.2 磋商地点：广西壮族自治区农村信用社联合社60楼6040办公室（广西南宁市民族大道148号），如有变化，另行通知。   </w:t>
      </w:r>
    </w:p>
    <w:p>
      <w:pPr>
        <w:adjustRightInd w:val="0"/>
        <w:snapToGrid w:val="0"/>
        <w:spacing w:beforeLines="0" w:afterLines="0" w:line="540" w:lineRule="exact"/>
        <w:ind w:firstLine="562" w:firstLineChars="200"/>
        <w:rPr>
          <w:rFonts w:cs="Times New Roman"/>
          <w:b/>
          <w:color w:val="auto"/>
          <w:sz w:val="28"/>
          <w:szCs w:val="28"/>
          <w:highlight w:val="none"/>
        </w:rPr>
      </w:pPr>
      <w:r>
        <w:rPr>
          <w:rFonts w:hint="eastAsia" w:cs="Times New Roman"/>
          <w:b/>
          <w:color w:val="auto"/>
          <w:sz w:val="28"/>
          <w:szCs w:val="28"/>
          <w:highlight w:val="none"/>
        </w:rPr>
        <w:t>六、所有与本次磋商有关的文件和函电请以下列方式联系：</w:t>
      </w:r>
    </w:p>
    <w:p>
      <w:pPr>
        <w:adjustRightInd w:val="0"/>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采购单位：广西壮族自治区农村信用社联合社</w:t>
      </w:r>
    </w:p>
    <w:p>
      <w:pPr>
        <w:adjustRightInd w:val="0"/>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地址：广西南宁市民族大道148号</w:t>
      </w:r>
    </w:p>
    <w:p>
      <w:pPr>
        <w:adjustRightInd w:val="0"/>
        <w:snapToGrid w:val="0"/>
        <w:spacing w:beforeLines="0" w:afterLines="0" w:line="540" w:lineRule="exact"/>
        <w:ind w:firstLine="560" w:firstLineChars="200"/>
        <w:rPr>
          <w:rFonts w:cs="Times New Roman"/>
          <w:color w:val="auto"/>
          <w:sz w:val="28"/>
          <w:szCs w:val="28"/>
          <w:highlight w:val="none"/>
        </w:rPr>
      </w:pPr>
      <w:r>
        <w:rPr>
          <w:rFonts w:hint="eastAsia" w:cs="Times New Roman"/>
          <w:color w:val="auto"/>
          <w:sz w:val="28"/>
          <w:szCs w:val="28"/>
          <w:highlight w:val="none"/>
        </w:rPr>
        <w:t>联系人：</w:t>
      </w:r>
      <w:r>
        <w:rPr>
          <w:rFonts w:hint="eastAsia" w:cs="Times New Roman"/>
          <w:color w:val="auto"/>
          <w:sz w:val="28"/>
          <w:szCs w:val="28"/>
          <w:highlight w:val="none"/>
          <w:lang w:val="en-US" w:eastAsia="zh-CN"/>
        </w:rPr>
        <w:t>雷婷</w:t>
      </w:r>
      <w:r>
        <w:rPr>
          <w:rFonts w:cs="Times New Roman"/>
          <w:color w:val="auto"/>
          <w:sz w:val="28"/>
          <w:szCs w:val="28"/>
          <w:highlight w:val="none"/>
        </w:rPr>
        <w:t xml:space="preserve">     </w:t>
      </w:r>
      <w:r>
        <w:rPr>
          <w:rFonts w:hint="eastAsia" w:cs="Times New Roman"/>
          <w:color w:val="auto"/>
          <w:sz w:val="28"/>
          <w:szCs w:val="28"/>
          <w:highlight w:val="none"/>
        </w:rPr>
        <w:t>联系电话：0771-</w:t>
      </w:r>
      <w:r>
        <w:rPr>
          <w:rFonts w:hint="eastAsia" w:cs="Times New Roman"/>
          <w:color w:val="auto"/>
          <w:sz w:val="28"/>
          <w:szCs w:val="28"/>
          <w:highlight w:val="none"/>
          <w:lang w:val="en-US" w:eastAsia="zh-CN"/>
        </w:rPr>
        <w:t>2350825</w:t>
      </w:r>
      <w:r>
        <w:rPr>
          <w:rFonts w:cs="Times New Roman"/>
          <w:color w:val="auto"/>
          <w:sz w:val="28"/>
          <w:szCs w:val="28"/>
          <w:highlight w:val="none"/>
        </w:rPr>
        <w:t xml:space="preserve">     </w:t>
      </w:r>
    </w:p>
    <w:p>
      <w:pPr>
        <w:adjustRightInd w:val="0"/>
        <w:snapToGrid w:val="0"/>
        <w:spacing w:beforeLines="0" w:afterLines="0" w:line="540" w:lineRule="exact"/>
        <w:ind w:firstLine="560" w:firstLineChars="200"/>
        <w:rPr>
          <w:rFonts w:hint="eastAsia"/>
          <w:color w:val="auto"/>
          <w:highlight w:val="none"/>
        </w:rPr>
      </w:pPr>
      <w:r>
        <w:rPr>
          <w:rFonts w:hint="eastAsia" w:cs="Times New Roman"/>
          <w:color w:val="auto"/>
          <w:sz w:val="28"/>
          <w:szCs w:val="28"/>
          <w:highlight w:val="none"/>
        </w:rPr>
        <w:t>电子邮箱：</w:t>
      </w:r>
      <w:r>
        <w:rPr>
          <w:rFonts w:hint="eastAsia"/>
          <w:color w:val="auto"/>
          <w:highlight w:val="none"/>
        </w:rPr>
        <w:fldChar w:fldCharType="begin"/>
      </w:r>
      <w:r>
        <w:rPr>
          <w:rFonts w:hint="eastAsia"/>
          <w:color w:val="auto"/>
          <w:highlight w:val="none"/>
        </w:rPr>
        <w:instrText xml:space="preserve"> HYPERLINK "mailto:2350829@163.com" </w:instrText>
      </w:r>
      <w:r>
        <w:rPr>
          <w:rFonts w:hint="eastAsia"/>
          <w:color w:val="auto"/>
          <w:highlight w:val="none"/>
        </w:rPr>
        <w:fldChar w:fldCharType="separate"/>
      </w:r>
      <w:r>
        <w:rPr>
          <w:rStyle w:val="29"/>
          <w:rFonts w:hint="eastAsia"/>
          <w:highlight w:val="none"/>
        </w:rPr>
        <w:t>2350829@163.com</w:t>
      </w:r>
      <w:r>
        <w:rPr>
          <w:rFonts w:hint="eastAsia"/>
          <w:color w:val="auto"/>
          <w:highlight w:val="none"/>
        </w:rPr>
        <w:fldChar w:fldCharType="end"/>
      </w:r>
    </w:p>
    <w:p>
      <w:pPr>
        <w:adjustRightInd w:val="0"/>
        <w:snapToGrid w:val="0"/>
        <w:spacing w:beforeLines="0" w:afterLines="0" w:line="540" w:lineRule="exact"/>
        <w:ind w:firstLine="560" w:firstLineChars="200"/>
        <w:rPr>
          <w:rFonts w:hint="eastAsia"/>
          <w:color w:val="auto"/>
          <w:highlight w:val="none"/>
        </w:rPr>
      </w:pPr>
    </w:p>
    <w:p>
      <w:pPr>
        <w:autoSpaceDE w:val="0"/>
        <w:autoSpaceDN w:val="0"/>
        <w:spacing w:beforeLines="0" w:afterLines="0" w:line="540" w:lineRule="exact"/>
        <w:ind w:right="780"/>
        <w:jc w:val="right"/>
        <w:textAlignment w:val="bottom"/>
        <w:rPr>
          <w:rFonts w:cs="Times New Roman"/>
          <w:color w:val="auto"/>
          <w:sz w:val="28"/>
          <w:szCs w:val="28"/>
          <w:highlight w:val="none"/>
        </w:rPr>
      </w:pPr>
      <w:r>
        <w:rPr>
          <w:rFonts w:hint="eastAsia" w:cs="Times New Roman"/>
          <w:color w:val="auto"/>
          <w:sz w:val="28"/>
          <w:szCs w:val="28"/>
          <w:highlight w:val="none"/>
        </w:rPr>
        <w:t>广西壮族自治区农村信用社联合社</w:t>
      </w:r>
    </w:p>
    <w:p>
      <w:pPr>
        <w:spacing w:beforeLines="0" w:afterLines="0" w:line="540" w:lineRule="exact"/>
        <w:rPr>
          <w:rFonts w:cs="Times New Roman"/>
          <w:color w:val="auto"/>
          <w:sz w:val="28"/>
          <w:szCs w:val="28"/>
          <w:highlight w:val="none"/>
        </w:rPr>
      </w:pPr>
      <w:r>
        <w:rPr>
          <w:rFonts w:hint="eastAsia" w:cs="Times New Roman"/>
          <w:color w:val="auto"/>
          <w:sz w:val="28"/>
          <w:szCs w:val="28"/>
          <w:highlight w:val="none"/>
        </w:rPr>
        <w:t xml:space="preserve">                                   </w:t>
      </w:r>
      <w:r>
        <w:rPr>
          <w:rFonts w:cs="Times New Roman"/>
          <w:color w:val="auto"/>
          <w:sz w:val="28"/>
          <w:szCs w:val="28"/>
          <w:highlight w:val="none"/>
        </w:rPr>
        <w:t xml:space="preserve">   </w:t>
      </w:r>
      <w:r>
        <w:rPr>
          <w:rFonts w:hint="eastAsia" w:cs="Times New Roman"/>
          <w:color w:val="auto"/>
          <w:sz w:val="28"/>
          <w:szCs w:val="28"/>
          <w:highlight w:val="none"/>
        </w:rPr>
        <w:t>20</w:t>
      </w:r>
      <w:r>
        <w:rPr>
          <w:rFonts w:cs="Times New Roman"/>
          <w:color w:val="auto"/>
          <w:sz w:val="28"/>
          <w:szCs w:val="28"/>
          <w:highlight w:val="none"/>
        </w:rPr>
        <w:t>22</w:t>
      </w:r>
      <w:r>
        <w:rPr>
          <w:rFonts w:hint="eastAsia" w:cs="Times New Roman"/>
          <w:color w:val="auto"/>
          <w:sz w:val="28"/>
          <w:szCs w:val="28"/>
          <w:highlight w:val="none"/>
        </w:rPr>
        <w:t>年</w:t>
      </w:r>
      <w:r>
        <w:rPr>
          <w:rFonts w:hint="eastAsia" w:cs="Times New Roman"/>
          <w:color w:val="auto"/>
          <w:sz w:val="28"/>
          <w:szCs w:val="28"/>
          <w:highlight w:val="none"/>
          <w:lang w:val="en-US" w:eastAsia="zh-CN"/>
        </w:rPr>
        <w:t>9</w:t>
      </w:r>
      <w:r>
        <w:rPr>
          <w:rFonts w:hint="eastAsia" w:cs="Times New Roman"/>
          <w:color w:val="auto"/>
          <w:sz w:val="28"/>
          <w:szCs w:val="28"/>
          <w:highlight w:val="none"/>
        </w:rPr>
        <w:t>月</w:t>
      </w:r>
      <w:r>
        <w:rPr>
          <w:rFonts w:hint="eastAsia" w:cs="Times New Roman"/>
          <w:color w:val="auto"/>
          <w:sz w:val="28"/>
          <w:szCs w:val="28"/>
          <w:highlight w:val="none"/>
          <w:lang w:val="en-US" w:eastAsia="zh-CN"/>
        </w:rPr>
        <w:t>21</w:t>
      </w:r>
      <w:r>
        <w:rPr>
          <w:rFonts w:hint="eastAsia" w:cs="Times New Roman"/>
          <w:color w:val="auto"/>
          <w:sz w:val="28"/>
          <w:szCs w:val="28"/>
          <w:highlight w:val="none"/>
        </w:rPr>
        <w:t>日</w:t>
      </w:r>
    </w:p>
    <w:p>
      <w:pPr>
        <w:autoSpaceDE w:val="0"/>
        <w:autoSpaceDN w:val="0"/>
        <w:adjustRightInd w:val="0"/>
        <w:snapToGrid w:val="0"/>
        <w:jc w:val="center"/>
        <w:textAlignment w:val="bottom"/>
        <w:rPr>
          <w:rFonts w:ascii="方正小标宋简体" w:hAnsi="Times New Roman" w:eastAsia="方正小标宋简体" w:cs="Times New Roman"/>
          <w:bCs/>
          <w:color w:val="auto"/>
          <w:sz w:val="44"/>
          <w:szCs w:val="44"/>
          <w:highlight w:val="none"/>
        </w:rPr>
      </w:pPr>
      <w:r>
        <w:rPr>
          <w:rFonts w:cs="Times New Roman"/>
          <w:color w:val="auto"/>
          <w:szCs w:val="21"/>
          <w:highlight w:val="none"/>
        </w:rPr>
        <w:br w:type="page"/>
      </w:r>
      <w:r>
        <w:rPr>
          <w:rFonts w:hint="eastAsia" w:ascii="方正小标宋简体" w:hAnsi="Times New Roman" w:eastAsia="方正小标宋简体" w:cs="Times New Roman"/>
          <w:bCs/>
          <w:color w:val="auto"/>
          <w:sz w:val="44"/>
          <w:szCs w:val="44"/>
          <w:highlight w:val="none"/>
        </w:rPr>
        <w:t>第二部分  供应商须知</w:t>
      </w:r>
    </w:p>
    <w:p>
      <w:pPr>
        <w:pStyle w:val="3"/>
        <w:rPr>
          <w:color w:val="auto"/>
          <w:highlight w:val="none"/>
        </w:rPr>
      </w:pPr>
      <w:bookmarkStart w:id="5" w:name="_Toc55483922"/>
      <w:bookmarkStart w:id="6" w:name="_Toc432068494"/>
      <w:bookmarkStart w:id="7" w:name="_Toc26933"/>
      <w:bookmarkStart w:id="8" w:name="_Toc467851142"/>
      <w:r>
        <w:rPr>
          <w:rFonts w:hint="eastAsia" w:ascii="宋体" w:hAnsi="宋体"/>
          <w:color w:val="auto"/>
          <w:sz w:val="30"/>
          <w:szCs w:val="30"/>
          <w:highlight w:val="none"/>
        </w:rPr>
        <w:t>一、供应商须知前附表</w:t>
      </w:r>
      <w:bookmarkEnd w:id="5"/>
      <w:bookmarkEnd w:id="6"/>
      <w:bookmarkEnd w:id="7"/>
      <w:bookmarkEnd w:id="8"/>
    </w:p>
    <w:tbl>
      <w:tblPr>
        <w:tblStyle w:val="31"/>
        <w:tblW w:w="9978"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5"/>
        <w:gridCol w:w="90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 w:hRule="atLeast"/>
          <w:jc w:val="center"/>
        </w:trPr>
        <w:tc>
          <w:tcPr>
            <w:tcW w:w="895" w:type="dxa"/>
            <w:vAlign w:val="center"/>
          </w:tcPr>
          <w:p>
            <w:pPr>
              <w:jc w:val="center"/>
              <w:rPr>
                <w:rFonts w:cs="黑体"/>
                <w:b/>
                <w:color w:val="auto"/>
                <w:highlight w:val="none"/>
              </w:rPr>
            </w:pPr>
            <w:r>
              <w:rPr>
                <w:rFonts w:hint="eastAsia" w:cs="黑体"/>
                <w:b/>
                <w:color w:val="auto"/>
                <w:highlight w:val="none"/>
              </w:rPr>
              <w:t>序号</w:t>
            </w:r>
          </w:p>
        </w:tc>
        <w:tc>
          <w:tcPr>
            <w:tcW w:w="9083" w:type="dxa"/>
            <w:vAlign w:val="center"/>
          </w:tcPr>
          <w:p>
            <w:pPr>
              <w:jc w:val="center"/>
              <w:rPr>
                <w:rFonts w:cs="黑体"/>
                <w:b/>
                <w:color w:val="auto"/>
                <w:highlight w:val="none"/>
              </w:rPr>
            </w:pPr>
            <w:r>
              <w:rPr>
                <w:rFonts w:hint="eastAsia" w:cs="黑体"/>
                <w:b/>
                <w:color w:val="auto"/>
                <w:highlight w:val="none"/>
              </w:rPr>
              <w:t>主  要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jc w:val="center"/>
              <w:rPr>
                <w:rFonts w:cs="黑体"/>
                <w:color w:val="auto"/>
                <w:highlight w:val="none"/>
              </w:rPr>
            </w:pPr>
            <w:r>
              <w:rPr>
                <w:rFonts w:hint="eastAsia" w:cs="黑体"/>
                <w:color w:val="auto"/>
                <w:highlight w:val="none"/>
              </w:rPr>
              <w:t>1</w:t>
            </w:r>
          </w:p>
        </w:tc>
        <w:tc>
          <w:tcPr>
            <w:tcW w:w="9083" w:type="dxa"/>
            <w:vAlign w:val="center"/>
          </w:tcPr>
          <w:p>
            <w:pPr>
              <w:tabs>
                <w:tab w:val="left" w:pos="735"/>
              </w:tabs>
              <w:snapToGrid w:val="0"/>
              <w:spacing w:line="480" w:lineRule="exact"/>
              <w:ind w:left="0"/>
              <w:rPr>
                <w:rFonts w:cs="黑体"/>
                <w:color w:val="auto"/>
                <w:highlight w:val="none"/>
              </w:rPr>
            </w:pPr>
            <w:r>
              <w:rPr>
                <w:rFonts w:hint="eastAsia" w:ascii="Times New Roman" w:hAnsi="Times New Roman" w:cs="黑体"/>
                <w:color w:val="auto"/>
                <w:highlight w:val="none"/>
              </w:rPr>
              <w:t>项目名称：</w:t>
            </w:r>
            <w:r>
              <w:rPr>
                <w:rFonts w:hint="eastAsia" w:cs="黑体"/>
                <w:color w:val="auto"/>
                <w:highlight w:val="none"/>
              </w:rPr>
              <w:t>广西壮族自治区农村信用社联合社</w:t>
            </w:r>
            <w:r>
              <w:rPr>
                <w:rFonts w:hint="eastAsia" w:cs="Times New Roman"/>
                <w:color w:val="auto"/>
                <w:sz w:val="28"/>
                <w:szCs w:val="28"/>
                <w:highlight w:val="none"/>
              </w:rPr>
              <w:t>健康保障委托管理服务</w:t>
            </w:r>
            <w:r>
              <w:rPr>
                <w:rFonts w:hint="eastAsia" w:cs="黑体"/>
                <w:color w:val="auto"/>
                <w:highlight w:val="none"/>
              </w:rPr>
              <w:t>采购项目</w:t>
            </w:r>
          </w:p>
          <w:p>
            <w:pPr>
              <w:tabs>
                <w:tab w:val="left" w:pos="735"/>
              </w:tabs>
              <w:snapToGrid w:val="0"/>
              <w:spacing w:line="480" w:lineRule="exact"/>
              <w:ind w:left="36"/>
              <w:rPr>
                <w:color w:val="auto"/>
                <w:highlight w:val="none"/>
              </w:rPr>
            </w:pPr>
            <w:r>
              <w:rPr>
                <w:rFonts w:hint="eastAsia"/>
                <w:color w:val="auto"/>
                <w:highlight w:val="none"/>
              </w:rPr>
              <w:t>采 购 人：广西壮族自治区农村信用社联合社</w:t>
            </w:r>
          </w:p>
          <w:p>
            <w:pPr>
              <w:tabs>
                <w:tab w:val="left" w:pos="735"/>
              </w:tabs>
              <w:snapToGrid w:val="0"/>
              <w:spacing w:line="480" w:lineRule="exact"/>
              <w:ind w:left="36"/>
              <w:rPr>
                <w:color w:val="auto"/>
                <w:highlight w:val="none"/>
              </w:rPr>
            </w:pPr>
            <w:r>
              <w:rPr>
                <w:rFonts w:hint="eastAsia"/>
                <w:color w:val="auto"/>
                <w:highlight w:val="none"/>
              </w:rPr>
              <w:t>项目委托规模：</w:t>
            </w:r>
            <w:r>
              <w:rPr>
                <w:rFonts w:hint="eastAsia" w:cs="Times New Roman"/>
                <w:color w:val="auto"/>
                <w:highlight w:val="none"/>
              </w:rPr>
              <w:t>健康托管产品</w:t>
            </w:r>
            <w:r>
              <w:rPr>
                <w:rFonts w:hint="eastAsia" w:cs="Times New Roman"/>
                <w:color w:val="auto"/>
                <w:highlight w:val="none"/>
                <w:lang w:val="en-US" w:eastAsia="zh-CN"/>
              </w:rPr>
              <w:t>约</w:t>
            </w:r>
            <w:r>
              <w:rPr>
                <w:rFonts w:hint="eastAsia" w:cs="Times New Roman"/>
                <w:color w:val="auto"/>
                <w:highlight w:val="none"/>
              </w:rPr>
              <w:t>5000万元</w:t>
            </w:r>
            <w:r>
              <w:rPr>
                <w:rFonts w:hint="eastAsia" w:cs="Times New Roman"/>
                <w:color w:val="auto"/>
                <w:highlight w:val="none"/>
                <w:lang w:eastAsia="zh-CN"/>
              </w:rPr>
              <w:t>（</w:t>
            </w:r>
            <w:r>
              <w:rPr>
                <w:rFonts w:hint="eastAsia" w:cs="Times New Roman"/>
                <w:color w:val="auto"/>
                <w:highlight w:val="none"/>
                <w:lang w:val="en-US" w:eastAsia="zh-CN"/>
              </w:rPr>
              <w:t>合同管理费按实际托管规模计</w:t>
            </w:r>
            <w:r>
              <w:rPr>
                <w:rFonts w:hint="eastAsia" w:cs="Times New Roman"/>
                <w:color w:val="auto"/>
                <w:highlight w:val="none"/>
                <w:lang w:eastAsia="zh-CN"/>
              </w:rPr>
              <w:t>）</w:t>
            </w:r>
            <w:r>
              <w:rPr>
                <w:rFonts w:hint="eastAsia" w:cs="Times New Roman"/>
                <w:color w:val="auto"/>
                <w:highlight w:val="none"/>
              </w:rPr>
              <w:t>。</w:t>
            </w:r>
          </w:p>
          <w:p>
            <w:pPr>
              <w:tabs>
                <w:tab w:val="left" w:pos="735"/>
              </w:tabs>
              <w:snapToGrid w:val="0"/>
              <w:spacing w:line="480" w:lineRule="exact"/>
              <w:ind w:left="36"/>
              <w:rPr>
                <w:color w:val="auto"/>
                <w:highlight w:val="none"/>
                <w:lang w:val="en-US"/>
              </w:rPr>
            </w:pPr>
            <w:r>
              <w:rPr>
                <w:rFonts w:hint="eastAsia"/>
                <w:color w:val="auto"/>
                <w:highlight w:val="none"/>
              </w:rPr>
              <w:t>联 系 人：</w:t>
            </w:r>
            <w:r>
              <w:rPr>
                <w:rFonts w:hint="eastAsia"/>
                <w:color w:val="auto"/>
                <w:highlight w:val="none"/>
                <w:lang w:val="en-US" w:eastAsia="zh-CN"/>
              </w:rPr>
              <w:t>雷婷</w:t>
            </w:r>
          </w:p>
          <w:p>
            <w:pPr>
              <w:tabs>
                <w:tab w:val="left" w:pos="735"/>
              </w:tabs>
              <w:snapToGrid w:val="0"/>
              <w:spacing w:line="480" w:lineRule="exact"/>
              <w:ind w:left="36"/>
              <w:rPr>
                <w:rFonts w:ascii="Times New Roman" w:hAnsi="Times New Roman" w:cs="黑体"/>
                <w:color w:val="auto"/>
                <w:highlight w:val="none"/>
              </w:rPr>
            </w:pPr>
            <w:r>
              <w:rPr>
                <w:rFonts w:hint="eastAsia"/>
                <w:color w:val="auto"/>
                <w:highlight w:val="none"/>
              </w:rPr>
              <w:t>联系电话：</w:t>
            </w:r>
            <w:r>
              <w:rPr>
                <w:rFonts w:hint="eastAsia" w:ascii="Times New Roman"/>
                <w:color w:val="auto"/>
                <w:szCs w:val="21"/>
                <w:highlight w:val="none"/>
              </w:rPr>
              <w:t>0771-</w:t>
            </w:r>
            <w:r>
              <w:rPr>
                <w:rFonts w:hint="eastAsia" w:ascii="Times New Roman"/>
                <w:color w:val="auto"/>
                <w:szCs w:val="21"/>
                <w:highlight w:val="none"/>
                <w:lang w:val="en-US" w:eastAsia="zh-CN"/>
              </w:rPr>
              <w:t>2350825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jc w:val="center"/>
              <w:rPr>
                <w:rFonts w:cs="黑体"/>
                <w:color w:val="auto"/>
                <w:highlight w:val="none"/>
              </w:rPr>
            </w:pPr>
            <w:r>
              <w:rPr>
                <w:rFonts w:hint="eastAsia" w:cs="黑体"/>
                <w:color w:val="auto"/>
                <w:highlight w:val="none"/>
              </w:rPr>
              <w:t>2</w:t>
            </w:r>
          </w:p>
        </w:tc>
        <w:tc>
          <w:tcPr>
            <w:tcW w:w="9083" w:type="dxa"/>
            <w:vAlign w:val="center"/>
          </w:tcPr>
          <w:p>
            <w:pPr>
              <w:tabs>
                <w:tab w:val="left" w:pos="735"/>
              </w:tabs>
              <w:snapToGrid w:val="0"/>
              <w:spacing w:line="480" w:lineRule="exact"/>
              <w:ind w:left="36"/>
              <w:rPr>
                <w:rFonts w:ascii="Times New Roman" w:hAnsi="Times New Roman" w:cs="黑体"/>
                <w:color w:val="auto"/>
                <w:highlight w:val="none"/>
              </w:rPr>
            </w:pPr>
            <w:r>
              <w:rPr>
                <w:rFonts w:hint="eastAsia" w:ascii="Times New Roman" w:hAnsi="Times New Roman" w:cs="黑体"/>
                <w:color w:val="auto"/>
                <w:highlight w:val="none"/>
              </w:rPr>
              <w:t>项目单位：</w:t>
            </w:r>
            <w:r>
              <w:rPr>
                <w:rFonts w:hint="eastAsia"/>
                <w:color w:val="auto"/>
                <w:highlight w:val="none"/>
              </w:rPr>
              <w:t>广西壮族自治区农村信用社联合社</w:t>
            </w:r>
          </w:p>
          <w:p>
            <w:pPr>
              <w:tabs>
                <w:tab w:val="left" w:pos="735"/>
              </w:tabs>
              <w:snapToGrid w:val="0"/>
              <w:spacing w:line="480" w:lineRule="exact"/>
              <w:ind w:left="36"/>
              <w:rPr>
                <w:rFonts w:ascii="Times New Roman" w:hAnsi="Times New Roman" w:cs="黑体"/>
                <w:color w:val="auto"/>
                <w:highlight w:val="none"/>
              </w:rPr>
            </w:pPr>
            <w:r>
              <w:rPr>
                <w:rFonts w:hint="eastAsia" w:ascii="Times New Roman" w:hAnsi="Times New Roman" w:cs="黑体"/>
                <w:color w:val="auto"/>
                <w:highlight w:val="none"/>
              </w:rPr>
              <w:t>项目地点：</w:t>
            </w:r>
            <w:r>
              <w:rPr>
                <w:rFonts w:hint="eastAsia" w:ascii="Times New Roman" w:hAnsi="Times New Roman" w:eastAsia="宋体" w:cs="黑体"/>
                <w:color w:val="auto"/>
                <w:sz w:val="24"/>
                <w:szCs w:val="24"/>
                <w:highlight w:val="none"/>
              </w:rPr>
              <w:t>南宁、柳州、桂林、梧州、玉林、百色、河池、北海等8个地市</w:t>
            </w:r>
            <w:r>
              <w:rPr>
                <w:rFonts w:hint="eastAsia" w:ascii="Times New Roman" w:hAnsi="Times New Roman" w:cs="黑体"/>
                <w:color w:val="auto"/>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jc w:val="center"/>
              <w:rPr>
                <w:rFonts w:cs="黑体"/>
                <w:color w:val="auto"/>
                <w:highlight w:val="none"/>
              </w:rPr>
            </w:pPr>
            <w:r>
              <w:rPr>
                <w:rFonts w:hint="eastAsia" w:cs="黑体"/>
                <w:color w:val="auto"/>
                <w:highlight w:val="none"/>
              </w:rPr>
              <w:t>3</w:t>
            </w:r>
          </w:p>
        </w:tc>
        <w:tc>
          <w:tcPr>
            <w:tcW w:w="9083" w:type="dxa"/>
            <w:vAlign w:val="center"/>
          </w:tcPr>
          <w:p>
            <w:pPr>
              <w:tabs>
                <w:tab w:val="left" w:pos="735"/>
              </w:tabs>
              <w:snapToGrid w:val="0"/>
              <w:spacing w:line="480" w:lineRule="exact"/>
              <w:rPr>
                <w:rFonts w:ascii="Times New Roman"/>
                <w:color w:val="auto"/>
                <w:szCs w:val="20"/>
                <w:highlight w:val="none"/>
              </w:rPr>
            </w:pPr>
            <w:r>
              <w:rPr>
                <w:rFonts w:hint="eastAsia" w:hAnsi="Courier New" w:cs="黑体"/>
                <w:color w:val="auto"/>
                <w:highlight w:val="none"/>
              </w:rPr>
              <w:t>本次采购项目内容详见第</w:t>
            </w:r>
            <w:r>
              <w:rPr>
                <w:rFonts w:hint="eastAsia" w:hAnsi="Courier New" w:cs="黑体"/>
                <w:color w:val="auto"/>
                <w:highlight w:val="none"/>
                <w:lang w:val="en-US" w:eastAsia="zh-CN"/>
              </w:rPr>
              <w:t>三</w:t>
            </w:r>
            <w:r>
              <w:rPr>
                <w:rFonts w:hint="eastAsia" w:hAnsi="Courier New" w:cs="黑体"/>
                <w:color w:val="auto"/>
                <w:highlight w:val="none"/>
              </w:rPr>
              <w:t>部分采购需求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jc w:val="center"/>
              <w:rPr>
                <w:rFonts w:cs="黑体"/>
                <w:color w:val="auto"/>
                <w:highlight w:val="none"/>
              </w:rPr>
            </w:pPr>
            <w:r>
              <w:rPr>
                <w:rFonts w:hint="eastAsia" w:cs="黑体"/>
                <w:color w:val="auto"/>
                <w:highlight w:val="none"/>
              </w:rPr>
              <w:t>4</w:t>
            </w:r>
          </w:p>
        </w:tc>
        <w:tc>
          <w:tcPr>
            <w:tcW w:w="9083" w:type="dxa"/>
            <w:vAlign w:val="center"/>
          </w:tcPr>
          <w:p>
            <w:pPr>
              <w:tabs>
                <w:tab w:val="left" w:pos="735"/>
              </w:tabs>
              <w:snapToGrid w:val="0"/>
              <w:spacing w:line="480" w:lineRule="exact"/>
              <w:rPr>
                <w:rFonts w:ascii="Times New Roman"/>
                <w:color w:val="auto"/>
                <w:highlight w:val="none"/>
              </w:rPr>
            </w:pPr>
            <w:r>
              <w:rPr>
                <w:rFonts w:hint="eastAsia" w:hAnsi="Courier New" w:cs="黑体"/>
                <w:color w:val="auto"/>
                <w:highlight w:val="none"/>
              </w:rPr>
              <w:t>报价方式：健康托管产品固定管理费率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jc w:val="center"/>
        </w:trPr>
        <w:tc>
          <w:tcPr>
            <w:tcW w:w="895" w:type="dxa"/>
            <w:vAlign w:val="center"/>
          </w:tcPr>
          <w:p>
            <w:pPr>
              <w:jc w:val="center"/>
              <w:rPr>
                <w:rFonts w:cs="黑体"/>
                <w:color w:val="auto"/>
                <w:highlight w:val="none"/>
              </w:rPr>
            </w:pPr>
            <w:r>
              <w:rPr>
                <w:rFonts w:hint="eastAsia" w:cs="黑体"/>
                <w:color w:val="auto"/>
                <w:highlight w:val="none"/>
              </w:rPr>
              <w:t>5</w:t>
            </w:r>
          </w:p>
        </w:tc>
        <w:tc>
          <w:tcPr>
            <w:tcW w:w="9083" w:type="dxa"/>
            <w:vAlign w:val="center"/>
          </w:tcPr>
          <w:p>
            <w:pPr>
              <w:snapToGrid w:val="0"/>
              <w:spacing w:line="480" w:lineRule="exact"/>
              <w:ind w:left="1082" w:leftChars="-4" w:hanging="1092" w:hangingChars="455"/>
              <w:rPr>
                <w:rFonts w:ascii="Calibri" w:hAnsi="Calibri" w:cs="黑体"/>
                <w:color w:val="auto"/>
                <w:highlight w:val="none"/>
              </w:rPr>
            </w:pPr>
            <w:r>
              <w:rPr>
                <w:rFonts w:ascii="Calibri" w:hAnsi="Calibri" w:cs="黑体"/>
                <w:color w:val="auto"/>
                <w:highlight w:val="none"/>
              </w:rPr>
              <w:t>合格</w:t>
            </w:r>
            <w:r>
              <w:rPr>
                <w:rFonts w:hint="eastAsia" w:ascii="Calibri" w:hAnsi="Calibri" w:cs="黑体"/>
                <w:color w:val="auto"/>
                <w:highlight w:val="none"/>
              </w:rPr>
              <w:t>的供应商：详见第一部分磋商邀请函第二条“合格供应商资格要求”。</w:t>
            </w:r>
          </w:p>
          <w:p>
            <w:pPr>
              <w:snapToGrid w:val="0"/>
              <w:spacing w:line="480" w:lineRule="exact"/>
              <w:ind w:left="1082" w:leftChars="-4" w:hanging="1092" w:hangingChars="455"/>
              <w:rPr>
                <w:rFonts w:ascii="Calibri" w:hAnsi="Calibri" w:cs="黑体"/>
                <w:color w:val="auto"/>
                <w:highlight w:val="none"/>
              </w:rPr>
            </w:pPr>
            <w:r>
              <w:rPr>
                <w:rFonts w:hint="eastAsia" w:ascii="Calibri" w:hAnsi="Calibri" w:cs="黑体"/>
                <w:color w:val="auto"/>
                <w:highlight w:val="none"/>
              </w:rPr>
              <w:t>地区限制：</w:t>
            </w:r>
            <w:r>
              <w:rPr>
                <w:rFonts w:hint="eastAsia" w:ascii="Calibri" w:hAnsi="Calibri" w:cs="黑体"/>
                <w:color w:val="auto"/>
                <w:highlight w:val="none"/>
                <w:lang w:val="en-US" w:eastAsia="zh-CN"/>
              </w:rPr>
              <w:t>响应</w:t>
            </w:r>
            <w:r>
              <w:rPr>
                <w:rFonts w:hint="eastAsia" w:ascii="Calibri" w:hAnsi="Calibri" w:cs="黑体"/>
                <w:color w:val="auto"/>
                <w:highlight w:val="none"/>
              </w:rPr>
              <w:t>服务必须是来自中华人民共和国境内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jc w:val="center"/>
              <w:rPr>
                <w:rFonts w:cs="黑体"/>
                <w:color w:val="auto"/>
                <w:highlight w:val="none"/>
              </w:rPr>
            </w:pPr>
            <w:r>
              <w:rPr>
                <w:rFonts w:hint="eastAsia" w:cs="黑体"/>
                <w:color w:val="auto"/>
                <w:highlight w:val="none"/>
              </w:rPr>
              <w:t>6</w:t>
            </w:r>
          </w:p>
        </w:tc>
        <w:tc>
          <w:tcPr>
            <w:tcW w:w="9083" w:type="dxa"/>
            <w:vAlign w:val="center"/>
          </w:tcPr>
          <w:p>
            <w:pPr>
              <w:rPr>
                <w:rFonts w:cs="黑体"/>
                <w:color w:val="auto"/>
                <w:highlight w:val="none"/>
              </w:rPr>
            </w:pPr>
            <w:r>
              <w:rPr>
                <w:rFonts w:hint="eastAsia" w:cs="黑体"/>
                <w:color w:val="auto"/>
                <w:highlight w:val="none"/>
              </w:rPr>
              <w:t>分包或转包：不允许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jc w:val="center"/>
              <w:rPr>
                <w:rFonts w:cs="黑体"/>
                <w:color w:val="auto"/>
                <w:highlight w:val="none"/>
              </w:rPr>
            </w:pPr>
            <w:r>
              <w:rPr>
                <w:rFonts w:hint="eastAsia" w:cs="黑体"/>
                <w:color w:val="auto"/>
                <w:highlight w:val="none"/>
              </w:rPr>
              <w:t>7</w:t>
            </w:r>
          </w:p>
        </w:tc>
        <w:tc>
          <w:tcPr>
            <w:tcW w:w="9083" w:type="dxa"/>
            <w:vAlign w:val="center"/>
          </w:tcPr>
          <w:p>
            <w:pPr>
              <w:rPr>
                <w:rFonts w:cs="黑体"/>
                <w:color w:val="auto"/>
                <w:highlight w:val="none"/>
              </w:rPr>
            </w:pPr>
            <w:r>
              <w:rPr>
                <w:rFonts w:hint="eastAsia" w:cs="黑体"/>
                <w:color w:val="auto"/>
                <w:highlight w:val="none"/>
              </w:rPr>
              <w:t>构成磋商文件的其他材料：无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jc w:val="center"/>
              <w:rPr>
                <w:rFonts w:cs="黑体"/>
                <w:color w:val="auto"/>
                <w:highlight w:val="none"/>
              </w:rPr>
            </w:pPr>
            <w:r>
              <w:rPr>
                <w:rFonts w:hint="eastAsia" w:cs="黑体"/>
                <w:color w:val="auto"/>
                <w:highlight w:val="none"/>
              </w:rPr>
              <w:t>8</w:t>
            </w:r>
          </w:p>
        </w:tc>
        <w:tc>
          <w:tcPr>
            <w:tcW w:w="9083" w:type="dxa"/>
            <w:vAlign w:val="center"/>
          </w:tcPr>
          <w:p>
            <w:pPr>
              <w:rPr>
                <w:rFonts w:cs="黑体"/>
                <w:color w:val="auto"/>
                <w:highlight w:val="none"/>
              </w:rPr>
            </w:pPr>
            <w:r>
              <w:rPr>
                <w:rFonts w:hint="eastAsia" w:cs="黑体"/>
                <w:color w:val="auto"/>
                <w:highlight w:val="none"/>
              </w:rPr>
              <w:t>提交首次响应文件截止时间：同磋商邀请函规定的提交首次响应文件截止时间。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jc w:val="center"/>
              <w:rPr>
                <w:rFonts w:cs="黑体"/>
                <w:color w:val="auto"/>
                <w:highlight w:val="none"/>
              </w:rPr>
            </w:pPr>
            <w:r>
              <w:rPr>
                <w:rFonts w:hint="eastAsia" w:cs="黑体"/>
                <w:color w:val="auto"/>
                <w:highlight w:val="none"/>
              </w:rPr>
              <w:t>9</w:t>
            </w:r>
          </w:p>
        </w:tc>
        <w:tc>
          <w:tcPr>
            <w:tcW w:w="9083" w:type="dxa"/>
            <w:vAlign w:val="center"/>
          </w:tcPr>
          <w:p>
            <w:pPr>
              <w:rPr>
                <w:rFonts w:cs="黑体"/>
                <w:color w:val="auto"/>
                <w:highlight w:val="none"/>
              </w:rPr>
            </w:pPr>
            <w:r>
              <w:rPr>
                <w:rFonts w:hint="eastAsia" w:cs="黑体"/>
                <w:color w:val="auto"/>
                <w:highlight w:val="none"/>
              </w:rPr>
              <w:t>构成响应文件的其他材料：无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jc w:val="center"/>
              <w:rPr>
                <w:rFonts w:cs="黑体"/>
                <w:color w:val="auto"/>
                <w:highlight w:val="none"/>
              </w:rPr>
            </w:pPr>
            <w:r>
              <w:rPr>
                <w:rFonts w:hint="eastAsia" w:cs="黑体"/>
                <w:color w:val="auto"/>
                <w:highlight w:val="none"/>
              </w:rPr>
              <w:t>10</w:t>
            </w:r>
          </w:p>
        </w:tc>
        <w:tc>
          <w:tcPr>
            <w:tcW w:w="9083" w:type="dxa"/>
            <w:vAlign w:val="center"/>
          </w:tcPr>
          <w:p>
            <w:pPr>
              <w:rPr>
                <w:rFonts w:cs="黑体"/>
                <w:color w:val="auto"/>
                <w:highlight w:val="none"/>
              </w:rPr>
            </w:pPr>
            <w:r>
              <w:rPr>
                <w:rFonts w:hint="eastAsia" w:cs="黑体"/>
                <w:color w:val="auto"/>
                <w:highlight w:val="none"/>
                <w:lang w:val="en-US" w:eastAsia="zh-CN"/>
              </w:rPr>
              <w:t>磋商</w:t>
            </w:r>
            <w:r>
              <w:rPr>
                <w:rFonts w:hint="eastAsia" w:cs="黑体"/>
                <w:color w:val="auto"/>
                <w:highlight w:val="none"/>
              </w:rPr>
              <w:t>费用：无论</w:t>
            </w:r>
            <w:r>
              <w:rPr>
                <w:rFonts w:hint="eastAsia" w:cs="黑体"/>
                <w:color w:val="auto"/>
                <w:highlight w:val="none"/>
                <w:lang w:val="en-US" w:eastAsia="zh-CN"/>
              </w:rPr>
              <w:t>磋商</w:t>
            </w:r>
            <w:r>
              <w:rPr>
                <w:rFonts w:hint="eastAsia" w:cs="黑体"/>
                <w:color w:val="auto"/>
                <w:highlight w:val="none"/>
              </w:rPr>
              <w:t>的过程和结果如何，供应商自行承担所有与参加</w:t>
            </w:r>
            <w:r>
              <w:rPr>
                <w:rFonts w:hint="eastAsia" w:cs="黑体"/>
                <w:color w:val="auto"/>
                <w:highlight w:val="none"/>
                <w:lang w:val="en-US" w:eastAsia="zh-CN"/>
              </w:rPr>
              <w:t>磋商</w:t>
            </w:r>
            <w:r>
              <w:rPr>
                <w:rFonts w:hint="eastAsia" w:cs="黑体"/>
                <w:color w:val="auto"/>
                <w:highlight w:val="none"/>
              </w:rPr>
              <w:t>有关活动的全部费用。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895" w:type="dxa"/>
            <w:vAlign w:val="center"/>
          </w:tcPr>
          <w:p>
            <w:pPr>
              <w:jc w:val="center"/>
              <w:rPr>
                <w:rFonts w:cs="黑体"/>
                <w:color w:val="auto"/>
                <w:highlight w:val="none"/>
              </w:rPr>
            </w:pPr>
            <w:r>
              <w:rPr>
                <w:rFonts w:hint="eastAsia" w:cs="黑体"/>
                <w:color w:val="auto"/>
                <w:highlight w:val="none"/>
              </w:rPr>
              <w:t>11</w:t>
            </w:r>
          </w:p>
        </w:tc>
        <w:tc>
          <w:tcPr>
            <w:tcW w:w="9083" w:type="dxa"/>
            <w:vAlign w:val="center"/>
          </w:tcPr>
          <w:p>
            <w:pPr>
              <w:rPr>
                <w:rFonts w:cs="黑体"/>
                <w:color w:val="auto"/>
                <w:highlight w:val="none"/>
              </w:rPr>
            </w:pPr>
            <w:r>
              <w:rPr>
                <w:rFonts w:hint="eastAsia" w:cs="黑体"/>
                <w:color w:val="auto"/>
                <w:highlight w:val="none"/>
              </w:rPr>
              <w:t>响应文件语言：中文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895" w:type="dxa"/>
            <w:vAlign w:val="center"/>
          </w:tcPr>
          <w:p>
            <w:pPr>
              <w:jc w:val="center"/>
              <w:rPr>
                <w:rFonts w:cs="黑体"/>
                <w:color w:val="auto"/>
                <w:highlight w:val="none"/>
              </w:rPr>
            </w:pPr>
            <w:r>
              <w:rPr>
                <w:rFonts w:hint="eastAsia" w:cs="黑体"/>
                <w:color w:val="auto"/>
                <w:highlight w:val="none"/>
              </w:rPr>
              <w:t>12</w:t>
            </w:r>
          </w:p>
        </w:tc>
        <w:tc>
          <w:tcPr>
            <w:tcW w:w="9083" w:type="dxa"/>
            <w:vAlign w:val="center"/>
          </w:tcPr>
          <w:p>
            <w:pPr>
              <w:rPr>
                <w:rFonts w:cs="黑体"/>
                <w:color w:val="auto"/>
                <w:highlight w:val="none"/>
              </w:rPr>
            </w:pPr>
            <w:r>
              <w:rPr>
                <w:rFonts w:hint="eastAsia" w:cs="黑体"/>
                <w:color w:val="auto"/>
                <w:highlight w:val="none"/>
              </w:rPr>
              <w:t>响应文件计量单位：响应文件中所用的计量单位，除竞争性磋商采购文件中有特殊要求外，应采用中国国家法定计量单位。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95" w:type="dxa"/>
            <w:vAlign w:val="center"/>
          </w:tcPr>
          <w:p>
            <w:pPr>
              <w:jc w:val="center"/>
              <w:rPr>
                <w:rFonts w:cs="黑体"/>
                <w:color w:val="auto"/>
                <w:highlight w:val="none"/>
              </w:rPr>
            </w:pPr>
            <w:r>
              <w:rPr>
                <w:rFonts w:hint="eastAsia" w:cs="黑体"/>
                <w:color w:val="auto"/>
                <w:highlight w:val="none"/>
              </w:rPr>
              <w:t>13</w:t>
            </w:r>
          </w:p>
        </w:tc>
        <w:tc>
          <w:tcPr>
            <w:tcW w:w="9083" w:type="dxa"/>
            <w:vAlign w:val="center"/>
          </w:tcPr>
          <w:p>
            <w:pPr>
              <w:spacing w:line="480" w:lineRule="exact"/>
              <w:rPr>
                <w:rFonts w:cs="黑体"/>
                <w:color w:val="auto"/>
                <w:highlight w:val="none"/>
              </w:rPr>
            </w:pPr>
            <w:r>
              <w:rPr>
                <w:rFonts w:hint="eastAsia" w:cs="黑体"/>
                <w:color w:val="auto"/>
                <w:highlight w:val="none"/>
              </w:rPr>
              <w:t>磋商保证金：无。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jc w:val="center"/>
        </w:trPr>
        <w:tc>
          <w:tcPr>
            <w:tcW w:w="895" w:type="dxa"/>
            <w:vAlign w:val="center"/>
          </w:tcPr>
          <w:p>
            <w:pPr>
              <w:jc w:val="center"/>
              <w:rPr>
                <w:rFonts w:cs="黑体"/>
                <w:color w:val="auto"/>
                <w:highlight w:val="none"/>
              </w:rPr>
            </w:pPr>
            <w:r>
              <w:rPr>
                <w:rFonts w:hint="eastAsia" w:cs="黑体"/>
                <w:color w:val="auto"/>
                <w:highlight w:val="none"/>
              </w:rPr>
              <w:t>14</w:t>
            </w:r>
          </w:p>
        </w:tc>
        <w:tc>
          <w:tcPr>
            <w:tcW w:w="9083" w:type="dxa"/>
            <w:vAlign w:val="center"/>
          </w:tcPr>
          <w:p>
            <w:pPr>
              <w:spacing w:line="480" w:lineRule="exact"/>
              <w:ind w:left="36"/>
              <w:rPr>
                <w:rFonts w:cs="黑体"/>
                <w:color w:val="auto"/>
                <w:highlight w:val="none"/>
              </w:rPr>
            </w:pPr>
            <w:r>
              <w:rPr>
                <w:rFonts w:hint="eastAsia" w:cs="黑体"/>
                <w:color w:val="auto"/>
                <w:highlight w:val="none"/>
              </w:rPr>
              <w:t>响应文件有效期：响应文件递交截止期后90日内有效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95" w:type="dxa"/>
            <w:vAlign w:val="center"/>
          </w:tcPr>
          <w:p>
            <w:pPr>
              <w:jc w:val="center"/>
              <w:rPr>
                <w:rFonts w:cs="黑体"/>
                <w:color w:val="auto"/>
                <w:highlight w:val="none"/>
              </w:rPr>
            </w:pPr>
            <w:r>
              <w:rPr>
                <w:rFonts w:hint="eastAsia" w:cs="黑体"/>
                <w:color w:val="auto"/>
                <w:highlight w:val="none"/>
              </w:rPr>
              <w:t>15</w:t>
            </w:r>
          </w:p>
        </w:tc>
        <w:tc>
          <w:tcPr>
            <w:tcW w:w="9083" w:type="dxa"/>
            <w:vAlign w:val="center"/>
          </w:tcPr>
          <w:p>
            <w:pPr>
              <w:tabs>
                <w:tab w:val="left" w:pos="8640"/>
              </w:tabs>
              <w:spacing w:line="480" w:lineRule="exact"/>
              <w:ind w:left="-2" w:leftChars="-1"/>
              <w:rPr>
                <w:rFonts w:cs="黑体"/>
                <w:color w:val="auto"/>
                <w:highlight w:val="none"/>
              </w:rPr>
            </w:pPr>
            <w:r>
              <w:rPr>
                <w:rFonts w:hint="eastAsia" w:cs="黑体"/>
                <w:color w:val="auto"/>
                <w:highlight w:val="none"/>
              </w:rPr>
              <w:t>响应文件封面要求：写明项目名称、买方名称、供应商名称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895" w:type="dxa"/>
            <w:vAlign w:val="center"/>
          </w:tcPr>
          <w:p>
            <w:pPr>
              <w:jc w:val="center"/>
              <w:rPr>
                <w:rFonts w:cs="黑体"/>
                <w:color w:val="auto"/>
                <w:highlight w:val="none"/>
              </w:rPr>
            </w:pPr>
            <w:r>
              <w:rPr>
                <w:rFonts w:hint="eastAsia" w:cs="黑体"/>
                <w:color w:val="auto"/>
                <w:highlight w:val="none"/>
              </w:rPr>
              <w:t>16</w:t>
            </w:r>
          </w:p>
        </w:tc>
        <w:tc>
          <w:tcPr>
            <w:tcW w:w="9083" w:type="dxa"/>
            <w:vAlign w:val="center"/>
          </w:tcPr>
          <w:p>
            <w:pPr>
              <w:spacing w:line="480" w:lineRule="exact"/>
              <w:rPr>
                <w:rFonts w:cs="黑体"/>
                <w:color w:val="auto"/>
                <w:highlight w:val="none"/>
              </w:rPr>
            </w:pPr>
            <w:r>
              <w:rPr>
                <w:rFonts w:hint="eastAsia" w:cs="黑体"/>
                <w:color w:val="auto"/>
                <w:highlight w:val="none"/>
              </w:rPr>
              <w:t>响应文件份数及密封要求：纸质版文件一式七份，其中</w:t>
            </w:r>
            <w:r>
              <w:rPr>
                <w:rFonts w:hint="eastAsia" w:cs="黑体"/>
                <w:b/>
                <w:color w:val="auto"/>
                <w:highlight w:val="none"/>
              </w:rPr>
              <w:t>正本1份，副本6份，电子版（光盘或U盘）1份</w:t>
            </w:r>
          </w:p>
          <w:p>
            <w:pPr>
              <w:spacing w:line="480" w:lineRule="exact"/>
              <w:rPr>
                <w:rFonts w:cs="黑体"/>
                <w:color w:val="auto"/>
                <w:highlight w:val="none"/>
              </w:rPr>
            </w:pPr>
            <w:r>
              <w:rPr>
                <w:rFonts w:hint="eastAsia" w:cs="黑体"/>
                <w:b/>
                <w:color w:val="auto"/>
                <w:highlight w:val="none"/>
              </w:rPr>
              <w:t>全部响应文件应密封包装后提交。密封袋封口处应有供应商法定代表人或授权代表的签名。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1" w:hRule="atLeast"/>
          <w:jc w:val="center"/>
        </w:trPr>
        <w:tc>
          <w:tcPr>
            <w:tcW w:w="895" w:type="dxa"/>
            <w:vAlign w:val="center"/>
          </w:tcPr>
          <w:p>
            <w:pPr>
              <w:tabs>
                <w:tab w:val="left" w:pos="420"/>
              </w:tabs>
              <w:jc w:val="center"/>
              <w:rPr>
                <w:rFonts w:cs="黑体"/>
                <w:color w:val="auto"/>
                <w:highlight w:val="none"/>
              </w:rPr>
            </w:pPr>
            <w:r>
              <w:rPr>
                <w:rFonts w:hint="eastAsia" w:cs="黑体"/>
                <w:color w:val="auto"/>
                <w:highlight w:val="none"/>
              </w:rPr>
              <w:t>17</w:t>
            </w:r>
          </w:p>
        </w:tc>
        <w:tc>
          <w:tcPr>
            <w:tcW w:w="9083" w:type="dxa"/>
            <w:vAlign w:val="center"/>
          </w:tcPr>
          <w:p>
            <w:pPr>
              <w:spacing w:line="480" w:lineRule="exact"/>
              <w:rPr>
                <w:rFonts w:cs="黑体"/>
                <w:color w:val="auto"/>
                <w:highlight w:val="none"/>
              </w:rPr>
            </w:pPr>
            <w:r>
              <w:rPr>
                <w:rFonts w:hint="eastAsia"/>
                <w:color w:val="auto"/>
                <w:highlight w:val="none"/>
              </w:rPr>
              <w:t>是否允许递交备选</w:t>
            </w:r>
            <w:r>
              <w:rPr>
                <w:rFonts w:hint="eastAsia"/>
                <w:color w:val="auto"/>
                <w:highlight w:val="none"/>
                <w:lang w:val="en-US" w:eastAsia="zh-CN"/>
              </w:rPr>
              <w:t>响应文件</w:t>
            </w:r>
            <w:r>
              <w:rPr>
                <w:rFonts w:hint="eastAsia"/>
                <w:color w:val="auto"/>
                <w:highlight w:val="none"/>
              </w:rPr>
              <w:t>：不允许</w:t>
            </w:r>
            <w:r>
              <w:rPr>
                <w:rFonts w:hint="eastAsia"/>
                <w:color w:val="auto"/>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jc w:val="center"/>
              <w:rPr>
                <w:rFonts w:cs="黑体"/>
                <w:color w:val="auto"/>
                <w:highlight w:val="none"/>
              </w:rPr>
            </w:pPr>
            <w:r>
              <w:rPr>
                <w:rFonts w:hint="eastAsia" w:cs="黑体"/>
                <w:color w:val="auto"/>
                <w:highlight w:val="none"/>
              </w:rPr>
              <w:t>18</w:t>
            </w:r>
          </w:p>
        </w:tc>
        <w:tc>
          <w:tcPr>
            <w:tcW w:w="9083" w:type="dxa"/>
            <w:vAlign w:val="center"/>
          </w:tcPr>
          <w:p>
            <w:pPr>
              <w:spacing w:line="480" w:lineRule="exact"/>
              <w:rPr>
                <w:rFonts w:cs="黑体"/>
                <w:color w:val="auto"/>
                <w:highlight w:val="none"/>
              </w:rPr>
            </w:pPr>
            <w:r>
              <w:rPr>
                <w:rFonts w:hint="eastAsia" w:cs="黑体"/>
                <w:color w:val="auto"/>
                <w:highlight w:val="none"/>
              </w:rPr>
              <w:t>开启时间和地点：</w:t>
            </w:r>
          </w:p>
          <w:p>
            <w:pPr>
              <w:numPr>
                <w:ilvl w:val="0"/>
                <w:numId w:val="3"/>
              </w:numPr>
              <w:spacing w:line="480" w:lineRule="exact"/>
              <w:rPr>
                <w:rFonts w:cs="黑体"/>
                <w:color w:val="auto"/>
                <w:highlight w:val="none"/>
              </w:rPr>
            </w:pPr>
            <w:r>
              <w:rPr>
                <w:rFonts w:hint="eastAsia" w:cs="黑体"/>
                <w:color w:val="auto"/>
                <w:highlight w:val="none"/>
              </w:rPr>
              <w:t>开启时间：同提交首次响应文件截止时间。</w:t>
            </w:r>
          </w:p>
          <w:p>
            <w:pPr>
              <w:numPr>
                <w:ilvl w:val="0"/>
                <w:numId w:val="3"/>
              </w:numPr>
              <w:spacing w:line="480" w:lineRule="exact"/>
              <w:rPr>
                <w:rFonts w:cs="黑体"/>
                <w:color w:val="auto"/>
                <w:highlight w:val="none"/>
              </w:rPr>
            </w:pPr>
            <w:r>
              <w:rPr>
                <w:rFonts w:hint="eastAsia" w:cs="黑体"/>
                <w:color w:val="auto"/>
                <w:highlight w:val="none"/>
              </w:rPr>
              <w:t>开启地点：同递交响应文件地点。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jc w:val="center"/>
              <w:rPr>
                <w:rFonts w:cs="黑体"/>
                <w:color w:val="auto"/>
                <w:highlight w:val="none"/>
              </w:rPr>
            </w:pPr>
            <w:r>
              <w:rPr>
                <w:rFonts w:hint="eastAsia" w:cs="黑体"/>
                <w:color w:val="auto"/>
                <w:highlight w:val="none"/>
              </w:rPr>
              <w:t>19</w:t>
            </w:r>
          </w:p>
        </w:tc>
        <w:tc>
          <w:tcPr>
            <w:tcW w:w="9083" w:type="dxa"/>
            <w:vAlign w:val="center"/>
          </w:tcPr>
          <w:p>
            <w:pPr>
              <w:tabs>
                <w:tab w:val="left" w:pos="666"/>
                <w:tab w:val="left" w:pos="840"/>
              </w:tabs>
              <w:spacing w:line="480" w:lineRule="exact"/>
              <w:rPr>
                <w:rFonts w:cs="黑体"/>
                <w:color w:val="auto"/>
                <w:highlight w:val="none"/>
                <w:u w:val="single"/>
              </w:rPr>
            </w:pPr>
            <w:r>
              <w:rPr>
                <w:rFonts w:hint="eastAsia" w:cs="黑体"/>
                <w:color w:val="auto"/>
                <w:highlight w:val="none"/>
                <w:u w:val="single"/>
              </w:rPr>
              <w:t>响应文件退还：不退还</w:t>
            </w:r>
            <w:r>
              <w:rPr>
                <w:rFonts w:hint="eastAsia" w:cs="黑体"/>
                <w:color w:val="auto"/>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jc w:val="center"/>
              <w:rPr>
                <w:rFonts w:cs="黑体"/>
                <w:color w:val="auto"/>
                <w:highlight w:val="none"/>
              </w:rPr>
            </w:pPr>
            <w:r>
              <w:rPr>
                <w:rFonts w:hint="eastAsia" w:cs="黑体"/>
                <w:color w:val="auto"/>
                <w:highlight w:val="none"/>
              </w:rPr>
              <w:t>20</w:t>
            </w:r>
          </w:p>
        </w:tc>
        <w:tc>
          <w:tcPr>
            <w:tcW w:w="9083" w:type="dxa"/>
            <w:vAlign w:val="center"/>
          </w:tcPr>
          <w:p>
            <w:pPr>
              <w:tabs>
                <w:tab w:val="left" w:pos="351"/>
              </w:tabs>
              <w:spacing w:line="480" w:lineRule="exact"/>
              <w:ind w:left="36"/>
              <w:rPr>
                <w:rFonts w:cs="黑体"/>
                <w:color w:val="auto"/>
                <w:highlight w:val="none"/>
              </w:rPr>
            </w:pPr>
            <w:r>
              <w:rPr>
                <w:rFonts w:hint="eastAsia" w:cs="黑体"/>
                <w:color w:val="auto"/>
                <w:highlight w:val="none"/>
                <w:lang w:val="en-US" w:eastAsia="zh-CN"/>
              </w:rPr>
              <w:t>磋商</w:t>
            </w:r>
            <w:r>
              <w:rPr>
                <w:rFonts w:hint="eastAsia" w:cs="黑体"/>
                <w:color w:val="auto"/>
                <w:highlight w:val="none"/>
              </w:rPr>
              <w:t>过程监督：采购人自行监督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jc w:val="center"/>
              <w:rPr>
                <w:rFonts w:cs="黑体"/>
                <w:color w:val="auto"/>
                <w:highlight w:val="none"/>
              </w:rPr>
            </w:pPr>
            <w:r>
              <w:rPr>
                <w:rFonts w:hint="eastAsia" w:cs="黑体"/>
                <w:color w:val="auto"/>
                <w:highlight w:val="none"/>
              </w:rPr>
              <w:t>21</w:t>
            </w:r>
          </w:p>
        </w:tc>
        <w:tc>
          <w:tcPr>
            <w:tcW w:w="9083" w:type="dxa"/>
            <w:vAlign w:val="center"/>
          </w:tcPr>
          <w:p>
            <w:pPr>
              <w:tabs>
                <w:tab w:val="left" w:pos="351"/>
              </w:tabs>
              <w:spacing w:line="480" w:lineRule="exact"/>
              <w:ind w:left="36"/>
              <w:rPr>
                <w:rFonts w:cs="黑体"/>
                <w:color w:val="auto"/>
                <w:highlight w:val="none"/>
              </w:rPr>
            </w:pPr>
            <w:r>
              <w:rPr>
                <w:rFonts w:hint="eastAsia" w:cs="黑体"/>
                <w:color w:val="auto"/>
                <w:highlight w:val="none"/>
              </w:rPr>
              <w:t>最高</w:t>
            </w:r>
            <w:r>
              <w:rPr>
                <w:rFonts w:hint="eastAsia" w:cs="黑体"/>
                <w:color w:val="auto"/>
                <w:highlight w:val="none"/>
                <w:lang w:val="en-US" w:eastAsia="zh-CN"/>
              </w:rPr>
              <w:t>报价</w:t>
            </w:r>
            <w:r>
              <w:rPr>
                <w:rFonts w:hint="eastAsia" w:cs="黑体"/>
                <w:color w:val="auto"/>
                <w:highlight w:val="none"/>
              </w:rPr>
              <w:t>限价：☑有最高</w:t>
            </w:r>
            <w:r>
              <w:rPr>
                <w:rFonts w:hint="eastAsia" w:cs="黑体"/>
                <w:color w:val="auto"/>
                <w:highlight w:val="none"/>
                <w:lang w:val="en-US" w:eastAsia="zh-CN"/>
              </w:rPr>
              <w:t>报价</w:t>
            </w:r>
            <w:r>
              <w:rPr>
                <w:rFonts w:hint="eastAsia" w:cs="黑体"/>
                <w:color w:val="auto"/>
                <w:highlight w:val="none"/>
              </w:rPr>
              <w:t>限价，委托管理费率（含税价）上限为0.</w:t>
            </w:r>
            <w:r>
              <w:rPr>
                <w:rFonts w:hint="eastAsia" w:cs="黑体"/>
                <w:color w:val="auto"/>
                <w:highlight w:val="none"/>
                <w:lang w:val="en-US" w:eastAsia="zh-CN"/>
              </w:rPr>
              <w:t>6</w:t>
            </w:r>
            <w:r>
              <w:rPr>
                <w:rFonts w:hint="eastAsia" w:cs="黑体"/>
                <w:color w:val="auto"/>
                <w:highlight w:val="none"/>
              </w:rPr>
              <w:t>%（不包括0.</w:t>
            </w:r>
            <w:r>
              <w:rPr>
                <w:rFonts w:hint="eastAsia" w:cs="黑体"/>
                <w:color w:val="auto"/>
                <w:highlight w:val="none"/>
                <w:lang w:val="en-US" w:eastAsia="zh-CN"/>
              </w:rPr>
              <w:t>6</w:t>
            </w:r>
            <w:r>
              <w:rPr>
                <w:rFonts w:hint="eastAsia" w:cs="黑体"/>
                <w:color w:val="auto"/>
                <w:highlight w:val="none"/>
              </w:rPr>
              <w:t>%本数）。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jc w:val="center"/>
              <w:rPr>
                <w:rFonts w:cs="黑体"/>
                <w:color w:val="auto"/>
                <w:highlight w:val="none"/>
              </w:rPr>
            </w:pPr>
            <w:r>
              <w:rPr>
                <w:rFonts w:hint="eastAsia" w:cs="黑体"/>
                <w:color w:val="auto"/>
                <w:highlight w:val="none"/>
              </w:rPr>
              <w:t>22</w:t>
            </w:r>
          </w:p>
        </w:tc>
        <w:tc>
          <w:tcPr>
            <w:tcW w:w="9083" w:type="dxa"/>
            <w:vAlign w:val="center"/>
          </w:tcPr>
          <w:p>
            <w:pPr>
              <w:spacing w:line="360" w:lineRule="auto"/>
              <w:rPr>
                <w:color w:val="auto"/>
                <w:highlight w:val="none"/>
              </w:rPr>
            </w:pPr>
            <w:r>
              <w:rPr>
                <w:rFonts w:hint="eastAsia"/>
                <w:color w:val="auto"/>
                <w:highlight w:val="none"/>
              </w:rPr>
              <w:t>磋商程序和内容：</w:t>
            </w:r>
          </w:p>
          <w:p>
            <w:pPr>
              <w:spacing w:line="360" w:lineRule="auto"/>
              <w:rPr>
                <w:color w:val="auto"/>
                <w:highlight w:val="none"/>
              </w:rPr>
            </w:pPr>
            <w:r>
              <w:rPr>
                <w:rFonts w:hint="eastAsia"/>
                <w:color w:val="auto"/>
                <w:highlight w:val="none"/>
              </w:rPr>
              <w:t>1.</w:t>
            </w:r>
            <w:r>
              <w:rPr>
                <w:rFonts w:hint="eastAsia"/>
                <w:color w:val="auto"/>
                <w:highlight w:val="none"/>
                <w:lang w:val="en-US" w:eastAsia="zh-CN"/>
              </w:rPr>
              <w:t>采购</w:t>
            </w:r>
            <w:r>
              <w:rPr>
                <w:rFonts w:hint="eastAsia"/>
                <w:color w:val="auto"/>
                <w:highlight w:val="none"/>
              </w:rPr>
              <w:t>单位按照规定的时间和地点接受供应商递交的</w:t>
            </w:r>
            <w:r>
              <w:rPr>
                <w:rFonts w:hint="eastAsia"/>
                <w:color w:val="auto"/>
                <w:highlight w:val="none"/>
                <w:lang w:val="en-US" w:eastAsia="zh-CN"/>
              </w:rPr>
              <w:t>响应</w:t>
            </w:r>
            <w:r>
              <w:rPr>
                <w:rFonts w:hint="eastAsia"/>
                <w:color w:val="auto"/>
                <w:highlight w:val="none"/>
              </w:rPr>
              <w:t>文件。供应商应派法定代表人或授权代表签到并参加磋商。</w:t>
            </w:r>
          </w:p>
          <w:p>
            <w:pPr>
              <w:spacing w:line="360" w:lineRule="auto"/>
              <w:rPr>
                <w:color w:val="auto"/>
                <w:highlight w:val="none"/>
              </w:rPr>
            </w:pPr>
            <w:r>
              <w:rPr>
                <w:rFonts w:hint="eastAsia"/>
                <w:color w:val="auto"/>
                <w:highlight w:val="none"/>
              </w:rPr>
              <w:t>2.由磋商小组开启</w:t>
            </w:r>
            <w:r>
              <w:rPr>
                <w:rFonts w:hint="eastAsia"/>
                <w:color w:val="auto"/>
                <w:highlight w:val="none"/>
                <w:lang w:val="en-US" w:eastAsia="zh-CN"/>
              </w:rPr>
              <w:t>响应</w:t>
            </w:r>
            <w:r>
              <w:rPr>
                <w:rFonts w:hint="eastAsia"/>
                <w:color w:val="auto"/>
                <w:highlight w:val="none"/>
              </w:rPr>
              <w:t>文件，进行审阅工作，并对实质性响应</w:t>
            </w:r>
            <w:r>
              <w:rPr>
                <w:rFonts w:hint="eastAsia"/>
                <w:color w:val="auto"/>
                <w:highlight w:val="none"/>
                <w:lang w:val="en-US" w:eastAsia="zh-CN"/>
              </w:rPr>
              <w:t>磋商文件的响应</w:t>
            </w:r>
            <w:r>
              <w:rPr>
                <w:rFonts w:hint="eastAsia"/>
                <w:color w:val="auto"/>
                <w:highlight w:val="none"/>
              </w:rPr>
              <w:t>文件进行评估和比较。</w:t>
            </w:r>
          </w:p>
          <w:p>
            <w:pPr>
              <w:spacing w:line="360" w:lineRule="auto"/>
              <w:rPr>
                <w:color w:val="auto"/>
                <w:highlight w:val="none"/>
              </w:rPr>
            </w:pPr>
            <w:r>
              <w:rPr>
                <w:rFonts w:hint="eastAsia"/>
                <w:color w:val="auto"/>
                <w:highlight w:val="none"/>
              </w:rPr>
              <w:t>3.供应商按递交</w:t>
            </w:r>
            <w:r>
              <w:rPr>
                <w:rFonts w:hint="eastAsia"/>
                <w:color w:val="auto"/>
                <w:highlight w:val="none"/>
                <w:lang w:val="en-US" w:eastAsia="zh-CN"/>
              </w:rPr>
              <w:t>响应</w:t>
            </w:r>
            <w:r>
              <w:rPr>
                <w:rFonts w:hint="eastAsia"/>
                <w:color w:val="auto"/>
                <w:highlight w:val="none"/>
              </w:rPr>
              <w:t>文件的顺序就</w:t>
            </w:r>
            <w:r>
              <w:rPr>
                <w:rFonts w:hint="eastAsia"/>
                <w:color w:val="auto"/>
                <w:highlight w:val="none"/>
                <w:lang w:val="en-US" w:eastAsia="zh-CN"/>
              </w:rPr>
              <w:t>响应</w:t>
            </w:r>
            <w:r>
              <w:rPr>
                <w:rFonts w:hint="eastAsia"/>
                <w:color w:val="auto"/>
                <w:highlight w:val="none"/>
              </w:rPr>
              <w:t>文件中的报价、服务方案和服务承诺等与磋商小组进行一对一的磋商。</w:t>
            </w:r>
          </w:p>
          <w:p>
            <w:pPr>
              <w:spacing w:line="360" w:lineRule="auto"/>
              <w:rPr>
                <w:color w:val="auto"/>
                <w:highlight w:val="none"/>
              </w:rPr>
            </w:pPr>
            <w:r>
              <w:rPr>
                <w:rFonts w:hint="eastAsia"/>
                <w:color w:val="auto"/>
                <w:highlight w:val="none"/>
              </w:rPr>
              <w:t>4.磋商后，所有参加磋商的供应商应在磋商小组规定的时间内给出最终报价</w:t>
            </w:r>
            <w:r>
              <w:rPr>
                <w:rFonts w:hint="eastAsia"/>
                <w:color w:val="auto"/>
                <w:highlight w:val="none"/>
                <w:lang w:eastAsia="zh-CN"/>
              </w:rPr>
              <w:t>、</w:t>
            </w:r>
            <w:r>
              <w:rPr>
                <w:rFonts w:hint="eastAsia"/>
                <w:color w:val="auto"/>
                <w:highlight w:val="none"/>
              </w:rPr>
              <w:t>书面澄清和承诺书，并由其法定代表人或授权代表签名。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895" w:type="dxa"/>
            <w:vAlign w:val="center"/>
          </w:tcPr>
          <w:p>
            <w:pPr>
              <w:jc w:val="center"/>
              <w:rPr>
                <w:rFonts w:cs="黑体"/>
                <w:color w:val="auto"/>
                <w:highlight w:val="none"/>
              </w:rPr>
            </w:pPr>
            <w:r>
              <w:rPr>
                <w:rFonts w:hint="eastAsia" w:cs="黑体"/>
                <w:color w:val="auto"/>
                <w:highlight w:val="none"/>
              </w:rPr>
              <w:t>23</w:t>
            </w:r>
          </w:p>
        </w:tc>
        <w:tc>
          <w:tcPr>
            <w:tcW w:w="9083" w:type="dxa"/>
            <w:vAlign w:val="center"/>
          </w:tcPr>
          <w:p>
            <w:pPr>
              <w:spacing w:line="360" w:lineRule="auto"/>
              <w:rPr>
                <w:color w:val="auto"/>
                <w:highlight w:val="none"/>
              </w:rPr>
            </w:pPr>
            <w:r>
              <w:rPr>
                <w:rFonts w:hint="eastAsia"/>
                <w:color w:val="auto"/>
                <w:highlight w:val="none"/>
              </w:rPr>
              <w:t xml:space="preserve">采购人补充的其他内容： </w:t>
            </w:r>
          </w:p>
          <w:p>
            <w:pPr>
              <w:spacing w:line="360" w:lineRule="auto"/>
              <w:rPr>
                <w:color w:val="auto"/>
                <w:highlight w:val="none"/>
              </w:rPr>
            </w:pPr>
            <w:r>
              <w:rPr>
                <w:rFonts w:hint="eastAsia"/>
                <w:color w:val="auto"/>
                <w:highlight w:val="none"/>
              </w:rPr>
              <w:t>保密协议：</w:t>
            </w:r>
          </w:p>
          <w:p>
            <w:pPr>
              <w:spacing w:line="360" w:lineRule="auto"/>
              <w:rPr>
                <w:rFonts w:cs="黑体"/>
                <w:color w:val="auto"/>
                <w:highlight w:val="none"/>
              </w:rPr>
            </w:pPr>
            <w:r>
              <w:rPr>
                <w:rFonts w:hint="eastAsia"/>
                <w:color w:val="auto"/>
                <w:highlight w:val="none"/>
              </w:rPr>
              <w:t>★购买响应文件的供应商无论是否参加参选都必须对本项目的所有比选文件严格保密，未经采购人书面允许不得以任何原因、任何方式向第三方透露！否则将依法追究其法律责任。</w:t>
            </w:r>
          </w:p>
        </w:tc>
      </w:tr>
    </w:tbl>
    <w:p>
      <w:pPr>
        <w:pStyle w:val="3"/>
        <w:rPr>
          <w:rFonts w:hint="eastAsia" w:ascii="宋体" w:hAnsi="宋体"/>
          <w:color w:val="auto"/>
          <w:sz w:val="30"/>
          <w:szCs w:val="30"/>
          <w:highlight w:val="none"/>
        </w:rPr>
      </w:pPr>
      <w:bookmarkStart w:id="9" w:name="_Toc432068495"/>
      <w:bookmarkStart w:id="10" w:name="_Toc467851143"/>
      <w:bookmarkStart w:id="11" w:name="_Toc55483923"/>
      <w:bookmarkStart w:id="12" w:name="_Toc10982"/>
    </w:p>
    <w:p>
      <w:pPr>
        <w:pStyle w:val="3"/>
        <w:rPr>
          <w:rFonts w:ascii="宋体" w:hAnsi="宋体"/>
          <w:color w:val="auto"/>
          <w:sz w:val="30"/>
          <w:szCs w:val="30"/>
          <w:highlight w:val="none"/>
        </w:rPr>
      </w:pPr>
      <w:r>
        <w:rPr>
          <w:rFonts w:hint="eastAsia" w:ascii="宋体" w:hAnsi="宋体"/>
          <w:color w:val="auto"/>
          <w:sz w:val="30"/>
          <w:szCs w:val="30"/>
          <w:highlight w:val="none"/>
        </w:rPr>
        <w:t>二、供应商须知</w:t>
      </w:r>
      <w:bookmarkEnd w:id="9"/>
      <w:bookmarkEnd w:id="10"/>
      <w:bookmarkEnd w:id="11"/>
      <w:bookmarkEnd w:id="12"/>
    </w:p>
    <w:p>
      <w:pPr>
        <w:pStyle w:val="4"/>
        <w:spacing w:before="0" w:after="120" w:line="360" w:lineRule="auto"/>
        <w:jc w:val="left"/>
        <w:rPr>
          <w:rFonts w:asciiTheme="minorEastAsia" w:hAnsiTheme="minorEastAsia" w:eastAsiaTheme="minorEastAsia" w:cstheme="minorEastAsia"/>
          <w:color w:val="auto"/>
          <w:sz w:val="24"/>
          <w:szCs w:val="24"/>
          <w:highlight w:val="none"/>
        </w:rPr>
      </w:pPr>
      <w:bookmarkStart w:id="13" w:name="_Toc432068497"/>
      <w:bookmarkStart w:id="14" w:name="_Toc20648"/>
      <w:bookmarkStart w:id="15" w:name="_Toc55483924"/>
      <w:bookmarkStart w:id="16" w:name="_Toc467851145"/>
      <w:r>
        <w:rPr>
          <w:rFonts w:hint="eastAsia" w:asciiTheme="minorEastAsia" w:hAnsiTheme="minorEastAsia" w:eastAsiaTheme="minorEastAsia" w:cstheme="minorEastAsia"/>
          <w:color w:val="auto"/>
          <w:sz w:val="24"/>
          <w:szCs w:val="24"/>
          <w:highlight w:val="none"/>
        </w:rPr>
        <w:t xml:space="preserve">1. </w:t>
      </w:r>
      <w:r>
        <w:rPr>
          <w:rFonts w:asciiTheme="minorEastAsia" w:hAnsiTheme="minorEastAsia" w:eastAsiaTheme="minorEastAsia" w:cstheme="minorEastAsia"/>
          <w:color w:val="auto"/>
          <w:sz w:val="24"/>
          <w:szCs w:val="24"/>
          <w:highlight w:val="none"/>
        </w:rPr>
        <w:t>竞争性磋商文件</w:t>
      </w:r>
      <w:r>
        <w:rPr>
          <w:rFonts w:hint="eastAsia" w:asciiTheme="minorEastAsia" w:hAnsiTheme="minorEastAsia" w:eastAsiaTheme="minorEastAsia" w:cstheme="minorEastAsia"/>
          <w:color w:val="auto"/>
          <w:sz w:val="24"/>
          <w:szCs w:val="24"/>
          <w:highlight w:val="none"/>
        </w:rPr>
        <w:t>（下文简称磋商文件）</w:t>
      </w:r>
      <w:bookmarkEnd w:id="13"/>
      <w:bookmarkEnd w:id="14"/>
      <w:bookmarkEnd w:id="15"/>
      <w:bookmarkEnd w:id="16"/>
    </w:p>
    <w:p>
      <w:pPr>
        <w:spacing w:before="156" w:beforeLines="50" w:after="156" w:afterLines="50"/>
        <w:rPr>
          <w:b/>
          <w:color w:val="auto"/>
          <w:highlight w:val="none"/>
        </w:rPr>
      </w:pPr>
      <w:r>
        <w:rPr>
          <w:b/>
          <w:color w:val="auto"/>
          <w:highlight w:val="none"/>
        </w:rPr>
        <w:t>1</w:t>
      </w:r>
      <w:r>
        <w:rPr>
          <w:rFonts w:hint="eastAsia"/>
          <w:b/>
          <w:color w:val="auto"/>
          <w:highlight w:val="none"/>
        </w:rPr>
        <w:t>.1 磋商文件的组成</w:t>
      </w:r>
    </w:p>
    <w:p>
      <w:pPr>
        <w:autoSpaceDE w:val="0"/>
        <w:autoSpaceDN w:val="0"/>
        <w:adjustRightInd w:val="0"/>
        <w:spacing w:line="360" w:lineRule="auto"/>
        <w:ind w:firstLine="480" w:firstLineChars="200"/>
        <w:rPr>
          <w:color w:val="auto"/>
          <w:highlight w:val="none"/>
        </w:rPr>
      </w:pPr>
      <w:r>
        <w:rPr>
          <w:rFonts w:hint="eastAsia"/>
          <w:color w:val="auto"/>
          <w:highlight w:val="none"/>
        </w:rPr>
        <w:t>本磋商文件包括：</w:t>
      </w:r>
    </w:p>
    <w:p>
      <w:pPr>
        <w:numPr>
          <w:ilvl w:val="0"/>
          <w:numId w:val="4"/>
        </w:numPr>
        <w:autoSpaceDE w:val="0"/>
        <w:autoSpaceDN w:val="0"/>
        <w:adjustRightInd w:val="0"/>
        <w:spacing w:line="360" w:lineRule="auto"/>
        <w:ind w:firstLine="480" w:firstLineChars="200"/>
        <w:rPr>
          <w:color w:val="auto"/>
          <w:highlight w:val="none"/>
        </w:rPr>
      </w:pPr>
      <w:r>
        <w:rPr>
          <w:rFonts w:hint="eastAsia"/>
          <w:color w:val="auto"/>
          <w:highlight w:val="none"/>
        </w:rPr>
        <w:t>磋商邀请函；</w:t>
      </w:r>
    </w:p>
    <w:p>
      <w:pPr>
        <w:numPr>
          <w:ilvl w:val="0"/>
          <w:numId w:val="4"/>
        </w:numPr>
        <w:autoSpaceDE w:val="0"/>
        <w:autoSpaceDN w:val="0"/>
        <w:adjustRightInd w:val="0"/>
        <w:spacing w:line="360" w:lineRule="auto"/>
        <w:ind w:firstLine="480" w:firstLineChars="200"/>
        <w:rPr>
          <w:color w:val="auto"/>
          <w:highlight w:val="none"/>
        </w:rPr>
      </w:pPr>
      <w:r>
        <w:rPr>
          <w:rFonts w:hint="eastAsia"/>
          <w:color w:val="auto"/>
          <w:highlight w:val="none"/>
        </w:rPr>
        <w:t>供应商须知；</w:t>
      </w:r>
    </w:p>
    <w:p>
      <w:pPr>
        <w:numPr>
          <w:ilvl w:val="0"/>
          <w:numId w:val="4"/>
        </w:numPr>
        <w:autoSpaceDE w:val="0"/>
        <w:autoSpaceDN w:val="0"/>
        <w:adjustRightInd w:val="0"/>
        <w:spacing w:line="360" w:lineRule="auto"/>
        <w:ind w:firstLine="480" w:firstLineChars="200"/>
        <w:rPr>
          <w:color w:val="auto"/>
          <w:highlight w:val="none"/>
        </w:rPr>
      </w:pPr>
      <w:r>
        <w:rPr>
          <w:rFonts w:hint="eastAsia"/>
          <w:color w:val="auto"/>
          <w:highlight w:val="none"/>
        </w:rPr>
        <w:t>采购需求；</w:t>
      </w:r>
    </w:p>
    <w:p>
      <w:pPr>
        <w:numPr>
          <w:ilvl w:val="0"/>
          <w:numId w:val="4"/>
        </w:numPr>
        <w:autoSpaceDE w:val="0"/>
        <w:autoSpaceDN w:val="0"/>
        <w:adjustRightInd w:val="0"/>
        <w:spacing w:line="360" w:lineRule="auto"/>
        <w:ind w:firstLine="480" w:firstLineChars="200"/>
        <w:rPr>
          <w:color w:val="auto"/>
          <w:highlight w:val="none"/>
        </w:rPr>
      </w:pPr>
      <w:r>
        <w:rPr>
          <w:rFonts w:hint="eastAsia"/>
          <w:color w:val="auto"/>
          <w:highlight w:val="none"/>
        </w:rPr>
        <w:t>合同</w:t>
      </w:r>
      <w:r>
        <w:rPr>
          <w:rFonts w:hint="eastAsia"/>
          <w:color w:val="auto"/>
          <w:highlight w:val="none"/>
          <w:lang w:val="en-US" w:eastAsia="zh-CN"/>
        </w:rPr>
        <w:t>样式</w:t>
      </w:r>
      <w:r>
        <w:rPr>
          <w:rFonts w:hint="eastAsia"/>
          <w:color w:val="auto"/>
          <w:highlight w:val="none"/>
        </w:rPr>
        <w:t>及</w:t>
      </w:r>
      <w:r>
        <w:rPr>
          <w:rFonts w:hint="eastAsia"/>
          <w:color w:val="auto"/>
          <w:highlight w:val="none"/>
          <w:lang w:val="en-US" w:eastAsia="zh-CN"/>
        </w:rPr>
        <w:t>条款</w:t>
      </w:r>
      <w:r>
        <w:rPr>
          <w:rFonts w:hint="eastAsia"/>
          <w:color w:val="auto"/>
          <w:highlight w:val="none"/>
        </w:rPr>
        <w:t>；</w:t>
      </w:r>
    </w:p>
    <w:p>
      <w:pPr>
        <w:numPr>
          <w:ilvl w:val="0"/>
          <w:numId w:val="4"/>
        </w:numPr>
        <w:autoSpaceDE w:val="0"/>
        <w:autoSpaceDN w:val="0"/>
        <w:adjustRightInd w:val="0"/>
        <w:spacing w:line="360" w:lineRule="auto"/>
        <w:ind w:firstLine="480" w:firstLineChars="200"/>
        <w:rPr>
          <w:color w:val="auto"/>
          <w:highlight w:val="none"/>
        </w:rPr>
      </w:pPr>
      <w:r>
        <w:rPr>
          <w:rFonts w:hint="eastAsia"/>
          <w:color w:val="auto"/>
          <w:highlight w:val="none"/>
        </w:rPr>
        <w:t>评审标准及方法；</w:t>
      </w:r>
    </w:p>
    <w:p>
      <w:pPr>
        <w:numPr>
          <w:ilvl w:val="0"/>
          <w:numId w:val="4"/>
        </w:numPr>
        <w:autoSpaceDE w:val="0"/>
        <w:autoSpaceDN w:val="0"/>
        <w:adjustRightInd w:val="0"/>
        <w:spacing w:line="360" w:lineRule="auto"/>
        <w:ind w:firstLine="480" w:firstLineChars="200"/>
        <w:rPr>
          <w:color w:val="auto"/>
          <w:highlight w:val="none"/>
        </w:rPr>
      </w:pPr>
      <w:r>
        <w:rPr>
          <w:rFonts w:hint="eastAsia"/>
          <w:color w:val="auto"/>
          <w:highlight w:val="none"/>
        </w:rPr>
        <w:t>响应文件格式及供应商须知前附表规定的其他材料。</w:t>
      </w:r>
    </w:p>
    <w:p>
      <w:pPr>
        <w:spacing w:before="156" w:beforeLines="50" w:after="156" w:afterLines="50"/>
        <w:rPr>
          <w:b/>
          <w:color w:val="auto"/>
          <w:highlight w:val="none"/>
        </w:rPr>
      </w:pPr>
      <w:r>
        <w:rPr>
          <w:b/>
          <w:color w:val="auto"/>
          <w:highlight w:val="none"/>
        </w:rPr>
        <w:t>1</w:t>
      </w:r>
      <w:r>
        <w:rPr>
          <w:rFonts w:hint="eastAsia"/>
          <w:b/>
          <w:color w:val="auto"/>
          <w:highlight w:val="none"/>
        </w:rPr>
        <w:t>.2 磋商文件的澄清</w:t>
      </w:r>
    </w:p>
    <w:p>
      <w:pPr>
        <w:autoSpaceDE w:val="0"/>
        <w:autoSpaceDN w:val="0"/>
        <w:adjustRightInd w:val="0"/>
        <w:spacing w:line="360" w:lineRule="auto"/>
        <w:ind w:firstLine="480" w:firstLineChars="200"/>
        <w:rPr>
          <w:color w:val="auto"/>
          <w:highlight w:val="none"/>
        </w:rPr>
      </w:pPr>
      <w:r>
        <w:rPr>
          <w:rFonts w:hint="eastAsia"/>
          <w:color w:val="auto"/>
          <w:highlight w:val="none"/>
        </w:rPr>
        <w:t>1.2.1 供应商应仔细阅读和检查磋商文件的全部内容。如发现缺页或附件不全，应及时向采购人提出，以便采购人核查后补齐。如有疑问，应在规定的</w:t>
      </w:r>
      <w:r>
        <w:rPr>
          <w:color w:val="auto"/>
          <w:highlight w:val="none"/>
        </w:rPr>
        <w:t>提交首次响应文件截止时间5日前</w:t>
      </w:r>
      <w:r>
        <w:rPr>
          <w:rFonts w:hint="eastAsia"/>
          <w:color w:val="auto"/>
          <w:highlight w:val="none"/>
        </w:rPr>
        <w:t>提出，要求采购人对磋商文件予以澄清。</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.2.2 如果澄清通知发出的时间距规定的提交首次响应文件截止时间不足</w:t>
      </w:r>
      <w:r>
        <w:rPr>
          <w:color w:val="auto"/>
          <w:highlight w:val="none"/>
          <w:u w:val="single"/>
        </w:rPr>
        <w:t>5</w:t>
      </w:r>
      <w:r>
        <w:rPr>
          <w:rFonts w:hint="eastAsia"/>
          <w:color w:val="auto"/>
          <w:highlight w:val="none"/>
        </w:rPr>
        <w:t>日，并且澄清的内容影响响应文件编制的，相应延长</w:t>
      </w:r>
      <w:r>
        <w:rPr>
          <w:color w:val="auto"/>
          <w:highlight w:val="none"/>
        </w:rPr>
        <w:t>首次响应文件</w:t>
      </w:r>
      <w:r>
        <w:rPr>
          <w:rFonts w:hint="eastAsia"/>
          <w:color w:val="auto"/>
          <w:highlight w:val="none"/>
        </w:rPr>
        <w:t>提交截止时间。</w:t>
      </w:r>
    </w:p>
    <w:p>
      <w:pPr>
        <w:spacing w:before="156" w:beforeLines="50" w:after="156" w:afterLines="50"/>
        <w:rPr>
          <w:b/>
          <w:color w:val="auto"/>
          <w:highlight w:val="none"/>
        </w:rPr>
      </w:pPr>
      <w:r>
        <w:rPr>
          <w:b/>
          <w:color w:val="auto"/>
          <w:highlight w:val="none"/>
        </w:rPr>
        <w:t>1</w:t>
      </w:r>
      <w:r>
        <w:rPr>
          <w:rFonts w:hint="eastAsia"/>
          <w:b/>
          <w:color w:val="auto"/>
          <w:highlight w:val="none"/>
        </w:rPr>
        <w:t>.3 磋商文件的修改</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.3.1 在</w:t>
      </w:r>
      <w:r>
        <w:rPr>
          <w:color w:val="auto"/>
          <w:highlight w:val="none"/>
        </w:rPr>
        <w:t>提交首次响应文件截止时间5日前</w:t>
      </w:r>
      <w:r>
        <w:rPr>
          <w:rFonts w:hint="eastAsia"/>
          <w:color w:val="auto"/>
          <w:highlight w:val="none"/>
        </w:rPr>
        <w:t>，采购人可以对磋商文件进行修改，同时将修改后的磋商文件发布给所有购买磋商文件的供应商，供应商应按修改后的磋商文件制作响应文件。如果修改通知发出的时间距供应商须知前附表规定的提交首次响应文件截止时间不足</w:t>
      </w:r>
      <w:r>
        <w:rPr>
          <w:rFonts w:hint="eastAsia"/>
          <w:color w:val="auto"/>
          <w:highlight w:val="none"/>
          <w:u w:val="single"/>
        </w:rPr>
        <w:t xml:space="preserve"> </w:t>
      </w:r>
      <w:r>
        <w:rPr>
          <w:color w:val="auto"/>
          <w:highlight w:val="none"/>
          <w:u w:val="single"/>
        </w:rPr>
        <w:t xml:space="preserve">5 </w:t>
      </w:r>
      <w:r>
        <w:rPr>
          <w:rFonts w:hint="eastAsia"/>
          <w:color w:val="auto"/>
          <w:highlight w:val="none"/>
        </w:rPr>
        <w:t>日，并且修改的内容影响响应文件编制的，相应延长提交首次响应文件截止时间。</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.3.2 当磋商文件的修改、补充在同一内容表述不一致时，以采购人最后发布的磋商文件为准。</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 xml:space="preserve">.3.3 为使供应商在编制响应文件时有充分的时间对磋商文件的修改、补充等内容进行研究并做出响应，采购人可酌情延长提交响应文件的截止时间，具体时间在磋商文件的修改、补充等通知中予以明确。 </w:t>
      </w:r>
    </w:p>
    <w:p>
      <w:pPr>
        <w:autoSpaceDE w:val="0"/>
        <w:autoSpaceDN w:val="0"/>
        <w:adjustRightInd w:val="0"/>
        <w:spacing w:line="360" w:lineRule="auto"/>
        <w:ind w:firstLine="480" w:firstLineChars="200"/>
        <w:rPr>
          <w:color w:val="auto"/>
          <w:highlight w:val="none"/>
        </w:rPr>
      </w:pPr>
      <w:r>
        <w:rPr>
          <w:color w:val="auto"/>
          <w:highlight w:val="none"/>
        </w:rPr>
        <w:t>1</w:t>
      </w:r>
      <w:r>
        <w:rPr>
          <w:rFonts w:hint="eastAsia"/>
          <w:color w:val="auto"/>
          <w:highlight w:val="none"/>
        </w:rPr>
        <w:t>.3.4 磋商文件的修改内容作为磋商文件的组成部分，具有约束作用。</w:t>
      </w:r>
    </w:p>
    <w:p>
      <w:pPr>
        <w:pStyle w:val="4"/>
        <w:spacing w:before="120" w:after="120" w:line="360" w:lineRule="auto"/>
        <w:jc w:val="left"/>
        <w:rPr>
          <w:rFonts w:asciiTheme="minorEastAsia" w:hAnsiTheme="minorEastAsia" w:eastAsiaTheme="minorEastAsia" w:cstheme="minorEastAsia"/>
          <w:color w:val="auto"/>
          <w:sz w:val="24"/>
          <w:szCs w:val="24"/>
          <w:highlight w:val="none"/>
        </w:rPr>
      </w:pPr>
      <w:bookmarkStart w:id="17" w:name="_Toc467851146"/>
      <w:bookmarkStart w:id="18" w:name="_Toc29075"/>
      <w:bookmarkStart w:id="19" w:name="_Toc55483925"/>
      <w:bookmarkStart w:id="20" w:name="_Toc432068498"/>
      <w:r>
        <w:rPr>
          <w:rFonts w:hint="eastAsia" w:asciiTheme="minorEastAsia" w:hAnsiTheme="minorEastAsia" w:eastAsiaTheme="minorEastAsia" w:cstheme="minorEastAsia"/>
          <w:color w:val="auto"/>
          <w:sz w:val="24"/>
          <w:szCs w:val="24"/>
          <w:highlight w:val="none"/>
        </w:rPr>
        <w:t xml:space="preserve">2. </w:t>
      </w:r>
      <w:bookmarkEnd w:id="17"/>
      <w:bookmarkEnd w:id="18"/>
      <w:bookmarkEnd w:id="19"/>
      <w:bookmarkEnd w:id="20"/>
      <w:r>
        <w:rPr>
          <w:rFonts w:hint="eastAsia" w:asciiTheme="minorEastAsia" w:hAnsiTheme="minorEastAsia" w:eastAsiaTheme="minorEastAsia" w:cstheme="minorEastAsia"/>
          <w:color w:val="auto"/>
          <w:sz w:val="24"/>
          <w:szCs w:val="24"/>
          <w:highlight w:val="none"/>
        </w:rPr>
        <w:t>响应文件</w:t>
      </w:r>
    </w:p>
    <w:p>
      <w:pPr>
        <w:spacing w:before="156" w:beforeLines="50" w:after="156" w:afterLines="50"/>
        <w:rPr>
          <w:b/>
          <w:color w:val="auto"/>
          <w:highlight w:val="none"/>
        </w:rPr>
      </w:pPr>
      <w:r>
        <w:rPr>
          <w:b/>
          <w:color w:val="auto"/>
          <w:highlight w:val="none"/>
        </w:rPr>
        <w:t>2</w:t>
      </w:r>
      <w:r>
        <w:rPr>
          <w:rFonts w:hint="eastAsia"/>
          <w:b/>
          <w:color w:val="auto"/>
          <w:highlight w:val="none"/>
        </w:rPr>
        <w:t>.1 响应文件的组成</w:t>
      </w:r>
    </w:p>
    <w:p>
      <w:pPr>
        <w:spacing w:line="460" w:lineRule="exact"/>
        <w:ind w:firstLine="480" w:firstLineChars="200"/>
        <w:rPr>
          <w:color w:val="auto"/>
          <w:highlight w:val="none"/>
        </w:rPr>
      </w:pPr>
      <w:r>
        <w:rPr>
          <w:color w:val="auto"/>
          <w:highlight w:val="none"/>
        </w:rPr>
        <w:t>2</w:t>
      </w:r>
      <w:r>
        <w:rPr>
          <w:rFonts w:hint="eastAsia"/>
          <w:color w:val="auto"/>
          <w:highlight w:val="none"/>
        </w:rPr>
        <w:t>.1.1 响应文件应包括：</w:t>
      </w:r>
    </w:p>
    <w:p>
      <w:pPr>
        <w:spacing w:line="360" w:lineRule="auto"/>
        <w:ind w:firstLine="480" w:firstLineChars="200"/>
        <w:rPr>
          <w:color w:val="auto"/>
          <w:highlight w:val="none"/>
        </w:rPr>
      </w:pPr>
      <w:r>
        <w:rPr>
          <w:rFonts w:hint="eastAsia"/>
          <w:color w:val="auto"/>
          <w:highlight w:val="none"/>
        </w:rPr>
        <w:t>一、 磋商响应函；</w:t>
      </w:r>
    </w:p>
    <w:p>
      <w:pPr>
        <w:spacing w:line="360" w:lineRule="auto"/>
        <w:ind w:firstLine="480" w:firstLineChars="200"/>
        <w:rPr>
          <w:color w:val="auto"/>
          <w:highlight w:val="none"/>
        </w:rPr>
      </w:pPr>
      <w:r>
        <w:rPr>
          <w:rFonts w:hint="eastAsia"/>
          <w:color w:val="auto"/>
          <w:highlight w:val="none"/>
        </w:rPr>
        <w:t>二、 法定代表人（单位负责人）身份证明（适用于无委托代理人的情况）；</w:t>
      </w:r>
    </w:p>
    <w:p>
      <w:pPr>
        <w:spacing w:line="360" w:lineRule="auto"/>
        <w:ind w:firstLine="480" w:firstLineChars="200"/>
        <w:rPr>
          <w:color w:val="auto"/>
          <w:highlight w:val="none"/>
        </w:rPr>
      </w:pPr>
      <w:r>
        <w:rPr>
          <w:rFonts w:hint="eastAsia"/>
          <w:color w:val="auto"/>
          <w:highlight w:val="none"/>
        </w:rPr>
        <w:t>三、 授权委托书（适用于有委托代理人的情况）；</w:t>
      </w:r>
    </w:p>
    <w:p>
      <w:pPr>
        <w:spacing w:line="360" w:lineRule="auto"/>
        <w:ind w:firstLine="480" w:firstLineChars="200"/>
        <w:rPr>
          <w:color w:val="auto"/>
          <w:highlight w:val="none"/>
        </w:rPr>
      </w:pPr>
      <w:r>
        <w:rPr>
          <w:rFonts w:hint="eastAsia"/>
          <w:color w:val="auto"/>
          <w:highlight w:val="none"/>
        </w:rPr>
        <w:t>四、报价函；</w:t>
      </w:r>
    </w:p>
    <w:p>
      <w:pPr>
        <w:spacing w:line="360" w:lineRule="auto"/>
        <w:ind w:firstLine="480" w:firstLineChars="200"/>
        <w:rPr>
          <w:color w:val="auto"/>
          <w:highlight w:val="none"/>
        </w:rPr>
      </w:pPr>
      <w:r>
        <w:rPr>
          <w:rFonts w:hint="eastAsia"/>
          <w:color w:val="auto"/>
          <w:highlight w:val="none"/>
        </w:rPr>
        <w:t>五、报价表；</w:t>
      </w:r>
    </w:p>
    <w:p>
      <w:pPr>
        <w:spacing w:line="360" w:lineRule="auto"/>
        <w:ind w:firstLine="480" w:firstLineChars="200"/>
        <w:rPr>
          <w:color w:val="auto"/>
          <w:highlight w:val="none"/>
        </w:rPr>
      </w:pPr>
      <w:r>
        <w:rPr>
          <w:rFonts w:hint="eastAsia"/>
          <w:color w:val="auto"/>
          <w:highlight w:val="none"/>
        </w:rPr>
        <w:t>六、保险服务供应商基本情况</w:t>
      </w:r>
    </w:p>
    <w:p>
      <w:pPr>
        <w:spacing w:line="360" w:lineRule="auto"/>
        <w:ind w:firstLine="480" w:firstLineChars="200"/>
        <w:rPr>
          <w:color w:val="auto"/>
          <w:highlight w:val="none"/>
        </w:rPr>
      </w:pPr>
      <w:r>
        <w:rPr>
          <w:rFonts w:hint="eastAsia"/>
          <w:color w:val="auto"/>
          <w:highlight w:val="none"/>
        </w:rPr>
        <w:t>七、</w:t>
      </w:r>
      <w:r>
        <w:rPr>
          <w:rFonts w:hint="eastAsia"/>
          <w:color w:val="auto"/>
          <w:highlight w:val="none"/>
          <w:lang w:val="en-US" w:eastAsia="zh-CN"/>
        </w:rPr>
        <w:t>服务</w:t>
      </w:r>
      <w:r>
        <w:rPr>
          <w:rFonts w:hint="eastAsia"/>
          <w:color w:val="auto"/>
          <w:highlight w:val="none"/>
        </w:rPr>
        <w:t>方案；</w:t>
      </w:r>
    </w:p>
    <w:p>
      <w:pPr>
        <w:spacing w:line="360" w:lineRule="auto"/>
        <w:ind w:firstLine="480" w:firstLineChars="200"/>
        <w:rPr>
          <w:color w:val="auto"/>
          <w:highlight w:val="none"/>
        </w:rPr>
      </w:pPr>
      <w:r>
        <w:rPr>
          <w:rFonts w:hint="eastAsia"/>
          <w:color w:val="auto"/>
          <w:highlight w:val="none"/>
        </w:rPr>
        <w:t>八、服务承诺；</w:t>
      </w:r>
    </w:p>
    <w:p>
      <w:pPr>
        <w:spacing w:line="360" w:lineRule="auto"/>
        <w:ind w:firstLine="480" w:firstLineChars="200"/>
        <w:rPr>
          <w:color w:val="auto"/>
          <w:highlight w:val="none"/>
        </w:rPr>
      </w:pPr>
      <w:r>
        <w:rPr>
          <w:rFonts w:hint="eastAsia"/>
          <w:color w:val="auto"/>
          <w:highlight w:val="none"/>
        </w:rPr>
        <w:t>九、其他资格证明资料。</w:t>
      </w:r>
    </w:p>
    <w:p>
      <w:pPr>
        <w:spacing w:before="156" w:beforeLines="50" w:after="156" w:afterLines="50"/>
        <w:rPr>
          <w:b/>
          <w:color w:val="auto"/>
          <w:highlight w:val="none"/>
        </w:rPr>
      </w:pPr>
      <w:r>
        <w:rPr>
          <w:b/>
          <w:color w:val="auto"/>
          <w:highlight w:val="none"/>
        </w:rPr>
        <w:t>2</w:t>
      </w:r>
      <w:r>
        <w:rPr>
          <w:rFonts w:hint="eastAsia"/>
          <w:b/>
          <w:color w:val="auto"/>
          <w:highlight w:val="none"/>
        </w:rPr>
        <w:t>.2 报价须知</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.2.1 供应商应按第六部分“报价表”的要求填写相应表格。</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.2.2 供应商在提交首次响应文件截止时间前修改商务标中“磋商响应函”的报价，应同时修改“报价表”中的相应报价。</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.2.3 采购人设有最高</w:t>
      </w:r>
      <w:r>
        <w:rPr>
          <w:rFonts w:hint="eastAsia"/>
          <w:color w:val="auto"/>
          <w:highlight w:val="none"/>
          <w:lang w:val="en-US" w:eastAsia="zh-CN"/>
        </w:rPr>
        <w:t>报价</w:t>
      </w:r>
      <w:r>
        <w:rPr>
          <w:rFonts w:hint="eastAsia"/>
          <w:color w:val="auto"/>
          <w:highlight w:val="none"/>
        </w:rPr>
        <w:t>限价的，供应商的报价不得超过最高</w:t>
      </w:r>
      <w:r>
        <w:rPr>
          <w:rFonts w:hint="eastAsia"/>
          <w:color w:val="auto"/>
          <w:highlight w:val="none"/>
          <w:lang w:val="en-US" w:eastAsia="zh-CN"/>
        </w:rPr>
        <w:t>报价</w:t>
      </w:r>
      <w:r>
        <w:rPr>
          <w:rFonts w:hint="eastAsia"/>
          <w:color w:val="auto"/>
          <w:highlight w:val="none"/>
        </w:rPr>
        <w:t>限价，最高</w:t>
      </w:r>
      <w:r>
        <w:rPr>
          <w:rFonts w:hint="eastAsia"/>
          <w:color w:val="auto"/>
          <w:highlight w:val="none"/>
          <w:lang w:val="en-US" w:eastAsia="zh-CN"/>
        </w:rPr>
        <w:t>报价</w:t>
      </w:r>
      <w:r>
        <w:rPr>
          <w:rFonts w:hint="eastAsia"/>
          <w:color w:val="auto"/>
          <w:highlight w:val="none"/>
        </w:rPr>
        <w:t>限价在供应商须知前附表中载明。</w:t>
      </w:r>
    </w:p>
    <w:p>
      <w:pPr>
        <w:pStyle w:val="12"/>
        <w:rPr>
          <w:color w:val="auto"/>
          <w:highlight w:val="none"/>
        </w:rPr>
      </w:pPr>
      <w:r>
        <w:rPr>
          <w:rFonts w:hint="eastAsia" w:ascii="宋体" w:hAnsi="宋体" w:cs="宋体"/>
          <w:color w:val="auto"/>
          <w:highlight w:val="none"/>
        </w:rPr>
        <w:t xml:space="preserve">    2.2.4 报价的其他要求见供应商须知前附表。</w:t>
      </w:r>
    </w:p>
    <w:p>
      <w:pPr>
        <w:spacing w:before="156" w:beforeLines="50" w:after="156" w:afterLines="50"/>
        <w:rPr>
          <w:b/>
          <w:color w:val="auto"/>
          <w:highlight w:val="none"/>
        </w:rPr>
      </w:pPr>
      <w:r>
        <w:rPr>
          <w:b/>
          <w:color w:val="auto"/>
          <w:highlight w:val="none"/>
        </w:rPr>
        <w:t>2</w:t>
      </w:r>
      <w:r>
        <w:rPr>
          <w:rFonts w:hint="eastAsia"/>
          <w:b/>
          <w:color w:val="auto"/>
          <w:highlight w:val="none"/>
        </w:rPr>
        <w:t>.3 响应文件有效期</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.3.1 响应文件递交截止时间后并在供应商须知前附表规定的响应文件有效期内，供应商不得要求撤销其响应文件。</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.3.2 出现特殊情况需要延长响应文件有效期的，采购人应通知所有供应商延长响应文件有效期。供应商同意延长的，应相应延长其磋商保证金的有效期，但不得要求或被允许修改或撤销其响应文件；供应商拒绝延长的，其</w:t>
      </w:r>
      <w:r>
        <w:rPr>
          <w:rFonts w:hint="eastAsia"/>
          <w:color w:val="auto"/>
          <w:highlight w:val="none"/>
          <w:lang w:val="en-US" w:eastAsia="zh-CN"/>
        </w:rPr>
        <w:t>响应文件</w:t>
      </w:r>
      <w:r>
        <w:rPr>
          <w:rFonts w:hint="eastAsia"/>
          <w:color w:val="auto"/>
          <w:highlight w:val="none"/>
        </w:rPr>
        <w:t>失效，但供应商有权收回其磋商保证金。</w:t>
      </w:r>
    </w:p>
    <w:p>
      <w:pPr>
        <w:spacing w:before="156" w:beforeLines="50" w:after="156" w:afterLines="50"/>
        <w:rPr>
          <w:b/>
          <w:color w:val="auto"/>
          <w:highlight w:val="none"/>
        </w:rPr>
      </w:pPr>
      <w:r>
        <w:rPr>
          <w:b/>
          <w:color w:val="auto"/>
          <w:highlight w:val="none"/>
        </w:rPr>
        <w:t>2</w:t>
      </w:r>
      <w:r>
        <w:rPr>
          <w:rFonts w:hint="eastAsia"/>
          <w:b/>
          <w:color w:val="auto"/>
          <w:highlight w:val="none"/>
        </w:rPr>
        <w:t>.4 磋商保证金：无</w:t>
      </w:r>
    </w:p>
    <w:p>
      <w:pPr>
        <w:spacing w:before="156" w:beforeLines="50" w:after="156" w:afterLines="50"/>
        <w:rPr>
          <w:b/>
          <w:color w:val="auto"/>
          <w:highlight w:val="none"/>
        </w:rPr>
      </w:pPr>
      <w:r>
        <w:rPr>
          <w:b/>
          <w:color w:val="auto"/>
          <w:highlight w:val="none"/>
        </w:rPr>
        <w:t>2</w:t>
      </w:r>
      <w:r>
        <w:rPr>
          <w:rFonts w:hint="eastAsia"/>
          <w:b/>
          <w:color w:val="auto"/>
          <w:highlight w:val="none"/>
        </w:rPr>
        <w:t>.</w:t>
      </w:r>
      <w:r>
        <w:rPr>
          <w:b/>
          <w:color w:val="auto"/>
          <w:highlight w:val="none"/>
        </w:rPr>
        <w:t>5</w:t>
      </w:r>
      <w:r>
        <w:rPr>
          <w:rFonts w:hint="eastAsia"/>
          <w:b/>
          <w:color w:val="auto"/>
          <w:highlight w:val="none"/>
        </w:rPr>
        <w:t xml:space="preserve"> 响应文件的编制</w:t>
      </w:r>
    </w:p>
    <w:p>
      <w:pPr>
        <w:spacing w:line="500" w:lineRule="exact"/>
        <w:ind w:firstLine="480" w:firstLineChars="200"/>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.1 响应文件应按第六部分“响应文件格式”进行编写，如有必要，可以增加附页，作为响应文件的组成部分。其中，磋商响应函附录在满足磋商文件实质性要求的基础上，可以提出比磋商文件要求更有利于采购人的承诺。</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w:t>
      </w:r>
      <w:r>
        <w:rPr>
          <w:color w:val="auto"/>
          <w:highlight w:val="none"/>
        </w:rPr>
        <w:t>5</w:t>
      </w:r>
      <w:r>
        <w:rPr>
          <w:rFonts w:hint="eastAsia"/>
          <w:color w:val="auto"/>
          <w:highlight w:val="none"/>
        </w:rPr>
        <w:t>.2 响应文件应当对磋商文件有关期限、响应文件有效期、质量要求、目标、技术标准和要求、</w:t>
      </w:r>
      <w:r>
        <w:rPr>
          <w:rFonts w:hint="eastAsia"/>
          <w:color w:val="auto"/>
          <w:highlight w:val="none"/>
          <w:lang w:val="en-US" w:eastAsia="zh-CN"/>
        </w:rPr>
        <w:t>服务</w:t>
      </w:r>
      <w:r>
        <w:rPr>
          <w:rFonts w:hint="eastAsia"/>
          <w:color w:val="auto"/>
          <w:highlight w:val="none"/>
        </w:rPr>
        <w:t>范围、合同价款支付方式等实质性内容作出响应。</w:t>
      </w:r>
    </w:p>
    <w:p>
      <w:pPr>
        <w:pStyle w:val="4"/>
        <w:spacing w:before="120" w:after="120" w:line="360" w:lineRule="auto"/>
        <w:jc w:val="left"/>
        <w:rPr>
          <w:rFonts w:ascii="宋体" w:hAnsi="宋体" w:eastAsia="宋体" w:cs="宋体"/>
          <w:bCs w:val="0"/>
          <w:color w:val="auto"/>
          <w:sz w:val="24"/>
          <w:szCs w:val="24"/>
          <w:highlight w:val="none"/>
        </w:rPr>
      </w:pPr>
      <w:bookmarkStart w:id="21" w:name="_Toc432068499"/>
      <w:bookmarkStart w:id="22" w:name="_Toc467851147"/>
      <w:bookmarkStart w:id="23" w:name="_Toc55483926"/>
      <w:bookmarkStart w:id="24" w:name="_Toc8238"/>
      <w:r>
        <w:rPr>
          <w:rFonts w:ascii="宋体" w:hAnsi="宋体" w:eastAsia="宋体" w:cs="宋体"/>
          <w:bCs w:val="0"/>
          <w:color w:val="auto"/>
          <w:sz w:val="24"/>
          <w:szCs w:val="24"/>
          <w:highlight w:val="none"/>
        </w:rPr>
        <w:t xml:space="preserve">3. </w:t>
      </w:r>
      <w:r>
        <w:rPr>
          <w:rFonts w:hint="eastAsia" w:ascii="宋体" w:hAnsi="宋体" w:eastAsia="宋体" w:cs="宋体"/>
          <w:b/>
          <w:bCs w:val="0"/>
          <w:color w:val="auto"/>
          <w:sz w:val="24"/>
          <w:szCs w:val="24"/>
          <w:highlight w:val="none"/>
        </w:rPr>
        <w:t>响应文件的密封和标识与递交</w:t>
      </w:r>
      <w:bookmarkEnd w:id="21"/>
      <w:bookmarkEnd w:id="22"/>
      <w:bookmarkEnd w:id="23"/>
      <w:bookmarkEnd w:id="24"/>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.1</w:t>
      </w:r>
      <w:r>
        <w:rPr>
          <w:color w:val="auto"/>
          <w:highlight w:val="none"/>
        </w:rPr>
        <w:t xml:space="preserve"> </w:t>
      </w:r>
      <w:r>
        <w:rPr>
          <w:rFonts w:hint="eastAsia"/>
          <w:color w:val="auto"/>
          <w:highlight w:val="none"/>
        </w:rPr>
        <w:t>响应文件应进行密封包装，并在密封处加盖供应商单位</w:t>
      </w:r>
      <w:r>
        <w:rPr>
          <w:rFonts w:ascii="Arial" w:hAnsi="Arial" w:cs="Arial"/>
          <w:color w:val="auto"/>
          <w:szCs w:val="21"/>
          <w:highlight w:val="none"/>
        </w:rPr>
        <w:t>公章</w:t>
      </w:r>
      <w:r>
        <w:rPr>
          <w:rFonts w:hint="eastAsia"/>
          <w:color w:val="auto"/>
          <w:highlight w:val="none"/>
        </w:rPr>
        <w:t>。</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w:t>
      </w:r>
      <w:r>
        <w:rPr>
          <w:color w:val="auto"/>
          <w:highlight w:val="none"/>
        </w:rPr>
        <w:t xml:space="preserve">2 </w:t>
      </w:r>
      <w:r>
        <w:rPr>
          <w:rFonts w:hint="eastAsia"/>
          <w:color w:val="auto"/>
          <w:highlight w:val="none"/>
        </w:rPr>
        <w:t>未按供应商须知前附表要求密封和加写标记的响应文件，采购人不予受理。</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.3 供应商递交响应文件的地点：见供应商须知前附表。</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.4 除供应商须知前附表另有规定的外，供应商所递交的响应文件不予退还。</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.5 逾期送达的响应文件，采购人不予受理。</w:t>
      </w:r>
    </w:p>
    <w:p>
      <w:pPr>
        <w:pStyle w:val="4"/>
        <w:spacing w:before="120" w:after="120" w:line="360" w:lineRule="auto"/>
        <w:jc w:val="left"/>
        <w:rPr>
          <w:rFonts w:asciiTheme="minorEastAsia" w:hAnsiTheme="minorEastAsia" w:eastAsiaTheme="minorEastAsia" w:cstheme="minorEastAsia"/>
          <w:color w:val="auto"/>
          <w:sz w:val="24"/>
          <w:szCs w:val="24"/>
          <w:highlight w:val="none"/>
        </w:rPr>
      </w:pPr>
      <w:bookmarkStart w:id="25" w:name="_Toc18553"/>
      <w:bookmarkStart w:id="26" w:name="_Toc432068500"/>
      <w:bookmarkStart w:id="27" w:name="_Toc467851148"/>
      <w:bookmarkStart w:id="28" w:name="_Toc55483927"/>
      <w:r>
        <w:rPr>
          <w:rFonts w:hint="eastAsia" w:asciiTheme="minorEastAsia" w:hAnsiTheme="minorEastAsia" w:eastAsiaTheme="minorEastAsia" w:cstheme="minorEastAsia"/>
          <w:color w:val="auto"/>
          <w:sz w:val="24"/>
          <w:szCs w:val="24"/>
          <w:highlight w:val="none"/>
        </w:rPr>
        <w:t>4. 响应文件</w:t>
      </w:r>
      <w:bookmarkEnd w:id="25"/>
      <w:bookmarkEnd w:id="26"/>
      <w:bookmarkEnd w:id="27"/>
      <w:bookmarkEnd w:id="28"/>
      <w:r>
        <w:rPr>
          <w:rFonts w:hint="eastAsia" w:asciiTheme="minorEastAsia" w:hAnsiTheme="minorEastAsia" w:eastAsiaTheme="minorEastAsia" w:cstheme="minorEastAsia"/>
          <w:color w:val="auto"/>
          <w:sz w:val="24"/>
          <w:szCs w:val="24"/>
          <w:highlight w:val="none"/>
        </w:rPr>
        <w:t>开启</w:t>
      </w:r>
    </w:p>
    <w:p>
      <w:pPr>
        <w:spacing w:before="156" w:beforeLines="50" w:after="156" w:afterLines="50"/>
        <w:rPr>
          <w:b/>
          <w:color w:val="auto"/>
          <w:highlight w:val="none"/>
        </w:rPr>
      </w:pPr>
      <w:r>
        <w:rPr>
          <w:b/>
          <w:color w:val="auto"/>
          <w:highlight w:val="none"/>
        </w:rPr>
        <w:t>4</w:t>
      </w:r>
      <w:r>
        <w:rPr>
          <w:rFonts w:hint="eastAsia"/>
          <w:b/>
          <w:color w:val="auto"/>
          <w:highlight w:val="none"/>
        </w:rPr>
        <w:t>.1 开启时间</w:t>
      </w:r>
    </w:p>
    <w:p>
      <w:pPr>
        <w:autoSpaceDE w:val="0"/>
        <w:autoSpaceDN w:val="0"/>
        <w:adjustRightInd w:val="0"/>
        <w:spacing w:line="360" w:lineRule="auto"/>
        <w:ind w:firstLine="480" w:firstLineChars="200"/>
        <w:rPr>
          <w:color w:val="auto"/>
          <w:highlight w:val="none"/>
        </w:rPr>
      </w:pPr>
      <w:r>
        <w:rPr>
          <w:rFonts w:hint="eastAsia"/>
          <w:color w:val="auto"/>
          <w:highlight w:val="none"/>
        </w:rPr>
        <w:t>采购人在规定的提交首次响应文件截止时间（开启时间）根据供应商须知前附表的要求，组织开启。</w:t>
      </w:r>
    </w:p>
    <w:p>
      <w:pPr>
        <w:spacing w:before="156" w:beforeLines="50" w:after="156" w:afterLines="50"/>
        <w:rPr>
          <w:b/>
          <w:color w:val="auto"/>
          <w:highlight w:val="none"/>
        </w:rPr>
      </w:pPr>
      <w:r>
        <w:rPr>
          <w:b/>
          <w:color w:val="auto"/>
          <w:highlight w:val="none"/>
        </w:rPr>
        <w:t>4</w:t>
      </w:r>
      <w:r>
        <w:rPr>
          <w:rFonts w:hint="eastAsia"/>
          <w:b/>
          <w:color w:val="auto"/>
          <w:highlight w:val="none"/>
        </w:rPr>
        <w:t>.</w:t>
      </w:r>
      <w:r>
        <w:rPr>
          <w:b/>
          <w:color w:val="auto"/>
          <w:highlight w:val="none"/>
        </w:rPr>
        <w:t>2</w:t>
      </w:r>
      <w:r>
        <w:rPr>
          <w:rFonts w:hint="eastAsia"/>
          <w:b/>
          <w:color w:val="auto"/>
          <w:highlight w:val="none"/>
        </w:rPr>
        <w:t>响应文件不予受理情形</w:t>
      </w:r>
    </w:p>
    <w:p>
      <w:pPr>
        <w:autoSpaceDE w:val="0"/>
        <w:autoSpaceDN w:val="0"/>
        <w:adjustRightInd w:val="0"/>
        <w:spacing w:line="360" w:lineRule="auto"/>
        <w:ind w:firstLine="480" w:firstLineChars="200"/>
        <w:rPr>
          <w:color w:val="auto"/>
          <w:highlight w:val="none"/>
        </w:rPr>
      </w:pPr>
      <w:r>
        <w:rPr>
          <w:rFonts w:hint="eastAsia"/>
          <w:color w:val="auto"/>
          <w:highlight w:val="none"/>
        </w:rPr>
        <w:t>响应文件有下列情形之一的，采购人不予受理：</w:t>
      </w:r>
    </w:p>
    <w:p>
      <w:pPr>
        <w:autoSpaceDE w:val="0"/>
        <w:autoSpaceDN w:val="0"/>
        <w:adjustRightInd w:val="0"/>
        <w:spacing w:line="360" w:lineRule="auto"/>
        <w:ind w:firstLine="480" w:firstLineChars="200"/>
        <w:rPr>
          <w:color w:val="auto"/>
          <w:highlight w:val="none"/>
        </w:rPr>
      </w:pPr>
      <w:r>
        <w:rPr>
          <w:rFonts w:hint="eastAsia"/>
          <w:color w:val="auto"/>
          <w:highlight w:val="none"/>
        </w:rPr>
        <w:t>(1)在规定的“提交首次响应文件截止时间”以后逾期送达的；</w:t>
      </w:r>
    </w:p>
    <w:p>
      <w:pPr>
        <w:autoSpaceDE w:val="0"/>
        <w:autoSpaceDN w:val="0"/>
        <w:adjustRightInd w:val="0"/>
        <w:spacing w:line="360" w:lineRule="auto"/>
        <w:ind w:firstLine="480" w:firstLineChars="200"/>
        <w:rPr>
          <w:color w:val="auto"/>
          <w:highlight w:val="none"/>
        </w:rPr>
      </w:pPr>
      <w:r>
        <w:rPr>
          <w:rFonts w:hint="eastAsia"/>
          <w:color w:val="auto"/>
          <w:highlight w:val="none"/>
        </w:rPr>
        <w:t>(2)不符合规定的“响应文件密封”要求的；</w:t>
      </w:r>
    </w:p>
    <w:p>
      <w:pPr>
        <w:pStyle w:val="12"/>
        <w:rPr>
          <w:rFonts w:ascii="宋体" w:hAnsi="宋体" w:cs="宋体" w:eastAsiaTheme="minorEastAsia"/>
          <w:color w:val="auto"/>
          <w:highlight w:val="none"/>
        </w:rPr>
      </w:pPr>
      <w:r>
        <w:rPr>
          <w:rFonts w:hint="eastAsia"/>
          <w:color w:val="auto"/>
          <w:highlight w:val="none"/>
        </w:rPr>
        <w:t xml:space="preserve">   </w:t>
      </w:r>
      <w:r>
        <w:rPr>
          <w:rFonts w:hint="eastAsia" w:ascii="宋体" w:hAnsi="宋体" w:cs="宋体" w:eastAsiaTheme="minorEastAsia"/>
          <w:color w:val="auto"/>
          <w:highlight w:val="none"/>
        </w:rPr>
        <w:t>（3）未按规定送达到指定地点的。</w:t>
      </w:r>
    </w:p>
    <w:p>
      <w:pPr>
        <w:pStyle w:val="4"/>
        <w:spacing w:before="120" w:after="120" w:line="360" w:lineRule="auto"/>
        <w:jc w:val="left"/>
        <w:rPr>
          <w:rFonts w:asciiTheme="minorEastAsia" w:hAnsiTheme="minorEastAsia" w:eastAsiaTheme="minorEastAsia" w:cstheme="minorEastAsia"/>
          <w:color w:val="auto"/>
          <w:sz w:val="24"/>
          <w:szCs w:val="24"/>
          <w:highlight w:val="none"/>
        </w:rPr>
      </w:pPr>
      <w:bookmarkStart w:id="29" w:name="_Toc55483928"/>
      <w:bookmarkStart w:id="30" w:name="_Toc15030"/>
      <w:bookmarkStart w:id="31" w:name="_Toc467851149"/>
      <w:bookmarkStart w:id="32" w:name="_Toc432068501"/>
      <w:r>
        <w:rPr>
          <w:rFonts w:hint="eastAsia" w:asciiTheme="minorEastAsia" w:hAnsiTheme="minorEastAsia" w:eastAsiaTheme="minorEastAsia" w:cstheme="minorEastAsia"/>
          <w:color w:val="auto"/>
          <w:sz w:val="24"/>
          <w:szCs w:val="24"/>
          <w:highlight w:val="none"/>
        </w:rPr>
        <w:t xml:space="preserve">5. </w:t>
      </w:r>
      <w:bookmarkEnd w:id="29"/>
      <w:bookmarkEnd w:id="30"/>
      <w:bookmarkEnd w:id="31"/>
      <w:bookmarkEnd w:id="32"/>
      <w:r>
        <w:rPr>
          <w:rFonts w:hint="eastAsia" w:asciiTheme="minorEastAsia" w:hAnsiTheme="minorEastAsia" w:eastAsiaTheme="minorEastAsia" w:cstheme="minorEastAsia"/>
          <w:color w:val="auto"/>
          <w:sz w:val="24"/>
          <w:szCs w:val="24"/>
          <w:highlight w:val="none"/>
        </w:rPr>
        <w:t>评审</w:t>
      </w:r>
    </w:p>
    <w:p>
      <w:pPr>
        <w:spacing w:before="156" w:beforeLines="50" w:after="156" w:afterLines="50"/>
        <w:rPr>
          <w:b/>
          <w:color w:val="auto"/>
          <w:highlight w:val="none"/>
        </w:rPr>
      </w:pPr>
      <w:r>
        <w:rPr>
          <w:b/>
          <w:color w:val="auto"/>
          <w:highlight w:val="none"/>
        </w:rPr>
        <w:t>5</w:t>
      </w:r>
      <w:r>
        <w:rPr>
          <w:rFonts w:hint="eastAsia"/>
          <w:b/>
          <w:color w:val="auto"/>
          <w:highlight w:val="none"/>
        </w:rPr>
        <w:t>.1 磋商小组</w:t>
      </w:r>
    </w:p>
    <w:p>
      <w:pPr>
        <w:autoSpaceDE w:val="0"/>
        <w:autoSpaceDN w:val="0"/>
        <w:adjustRightInd w:val="0"/>
        <w:spacing w:line="360" w:lineRule="auto"/>
        <w:rPr>
          <w:color w:val="auto"/>
          <w:highlight w:val="none"/>
        </w:rPr>
      </w:pPr>
      <w:r>
        <w:rPr>
          <w:color w:val="auto"/>
          <w:highlight w:val="none"/>
        </w:rPr>
        <w:t>5</w:t>
      </w:r>
      <w:r>
        <w:rPr>
          <w:rFonts w:hint="eastAsia"/>
          <w:color w:val="auto"/>
          <w:highlight w:val="none"/>
        </w:rPr>
        <w:t>.1.1 评审由采购人依法组建的磋商小组负责。</w:t>
      </w:r>
    </w:p>
    <w:p>
      <w:pPr>
        <w:autoSpaceDE w:val="0"/>
        <w:autoSpaceDN w:val="0"/>
        <w:adjustRightInd w:val="0"/>
        <w:spacing w:line="360" w:lineRule="auto"/>
        <w:rPr>
          <w:color w:val="auto"/>
          <w:highlight w:val="none"/>
        </w:rPr>
      </w:pPr>
      <w:r>
        <w:rPr>
          <w:rFonts w:hint="eastAsia"/>
          <w:color w:val="auto"/>
          <w:highlight w:val="none"/>
        </w:rPr>
        <w:t>5.1.2 磋商小组成员有下列情形之一的，应当回避：</w:t>
      </w:r>
    </w:p>
    <w:p>
      <w:pPr>
        <w:autoSpaceDE w:val="0"/>
        <w:autoSpaceDN w:val="0"/>
        <w:adjustRightInd w:val="0"/>
        <w:spacing w:line="360" w:lineRule="auto"/>
        <w:rPr>
          <w:color w:val="auto"/>
          <w:highlight w:val="none"/>
        </w:rPr>
      </w:pPr>
      <w:r>
        <w:rPr>
          <w:rFonts w:hint="eastAsia"/>
          <w:color w:val="auto"/>
          <w:highlight w:val="none"/>
        </w:rPr>
        <w:t xml:space="preserve">    (1)采购人或供应商的主要负责人的近亲属；</w:t>
      </w:r>
    </w:p>
    <w:p>
      <w:pPr>
        <w:autoSpaceDE w:val="0"/>
        <w:autoSpaceDN w:val="0"/>
        <w:adjustRightInd w:val="0"/>
        <w:spacing w:line="360" w:lineRule="auto"/>
        <w:rPr>
          <w:color w:val="auto"/>
          <w:highlight w:val="none"/>
        </w:rPr>
      </w:pPr>
      <w:r>
        <w:rPr>
          <w:rFonts w:hint="eastAsia"/>
          <w:color w:val="auto"/>
          <w:highlight w:val="none"/>
        </w:rPr>
        <w:t xml:space="preserve">    (2)项目主管部门或者行政监督部门的人员；</w:t>
      </w:r>
    </w:p>
    <w:p>
      <w:pPr>
        <w:autoSpaceDE w:val="0"/>
        <w:autoSpaceDN w:val="0"/>
        <w:adjustRightInd w:val="0"/>
        <w:spacing w:line="360" w:lineRule="auto"/>
        <w:rPr>
          <w:color w:val="auto"/>
          <w:highlight w:val="none"/>
        </w:rPr>
      </w:pPr>
      <w:r>
        <w:rPr>
          <w:rFonts w:hint="eastAsia"/>
          <w:color w:val="auto"/>
          <w:highlight w:val="none"/>
        </w:rPr>
        <w:t xml:space="preserve">    (3)与供应商有经济利益关系，可能影响对磋商公正评审的；</w:t>
      </w:r>
    </w:p>
    <w:p>
      <w:pPr>
        <w:autoSpaceDE w:val="0"/>
        <w:autoSpaceDN w:val="0"/>
        <w:adjustRightInd w:val="0"/>
        <w:spacing w:line="360" w:lineRule="auto"/>
        <w:rPr>
          <w:color w:val="auto"/>
          <w:highlight w:val="none"/>
        </w:rPr>
      </w:pPr>
      <w:r>
        <w:rPr>
          <w:rFonts w:hint="eastAsia"/>
          <w:color w:val="auto"/>
          <w:highlight w:val="none"/>
        </w:rPr>
        <w:t xml:space="preserve">    (4)曾因在招标、评审以及其他与招标投标有关活动中从事违法行为而受过行政处罚或刑事处罚的。</w:t>
      </w:r>
    </w:p>
    <w:p>
      <w:pPr>
        <w:spacing w:before="156" w:beforeLines="50" w:after="156" w:afterLines="50"/>
        <w:rPr>
          <w:b/>
          <w:color w:val="auto"/>
          <w:highlight w:val="none"/>
        </w:rPr>
      </w:pPr>
      <w:r>
        <w:rPr>
          <w:b/>
          <w:color w:val="auto"/>
          <w:highlight w:val="none"/>
        </w:rPr>
        <w:t>5</w:t>
      </w:r>
      <w:r>
        <w:rPr>
          <w:rFonts w:hint="eastAsia"/>
          <w:b/>
          <w:color w:val="auto"/>
          <w:highlight w:val="none"/>
        </w:rPr>
        <w:t>.2 评审原则</w:t>
      </w:r>
    </w:p>
    <w:p>
      <w:pPr>
        <w:autoSpaceDE w:val="0"/>
        <w:autoSpaceDN w:val="0"/>
        <w:adjustRightInd w:val="0"/>
        <w:spacing w:line="360" w:lineRule="auto"/>
        <w:ind w:firstLine="480" w:firstLineChars="200"/>
        <w:rPr>
          <w:color w:val="auto"/>
          <w:highlight w:val="none"/>
        </w:rPr>
      </w:pPr>
      <w:r>
        <w:rPr>
          <w:color w:val="auto"/>
          <w:highlight w:val="none"/>
        </w:rPr>
        <w:t>5</w:t>
      </w:r>
      <w:r>
        <w:rPr>
          <w:rFonts w:hint="eastAsia"/>
          <w:color w:val="auto"/>
          <w:highlight w:val="none"/>
        </w:rPr>
        <w:t>.2.1 评审活动遵循公平、公正、科学和择优的原则。</w:t>
      </w:r>
    </w:p>
    <w:p>
      <w:pPr>
        <w:autoSpaceDE w:val="0"/>
        <w:autoSpaceDN w:val="0"/>
        <w:adjustRightInd w:val="0"/>
        <w:spacing w:line="360" w:lineRule="auto"/>
        <w:ind w:firstLine="480" w:firstLineChars="200"/>
        <w:rPr>
          <w:color w:val="auto"/>
          <w:szCs w:val="21"/>
          <w:highlight w:val="none"/>
        </w:rPr>
      </w:pPr>
      <w:r>
        <w:rPr>
          <w:color w:val="auto"/>
          <w:highlight w:val="none"/>
        </w:rPr>
        <w:t>5</w:t>
      </w:r>
      <w:r>
        <w:rPr>
          <w:rFonts w:hint="eastAsia"/>
          <w:color w:val="auto"/>
          <w:highlight w:val="none"/>
        </w:rPr>
        <w:t>.2.</w:t>
      </w:r>
      <w:r>
        <w:rPr>
          <w:color w:val="auto"/>
          <w:highlight w:val="none"/>
        </w:rPr>
        <w:t>2</w:t>
      </w:r>
      <w:r>
        <w:rPr>
          <w:rFonts w:hint="eastAsia"/>
          <w:color w:val="auto"/>
          <w:highlight w:val="none"/>
        </w:rPr>
        <w:t xml:space="preserve"> 在满足资格条件的供应商中</w:t>
      </w:r>
      <w:r>
        <w:rPr>
          <w:rFonts w:hint="eastAsia"/>
          <w:color w:val="auto"/>
          <w:szCs w:val="21"/>
          <w:highlight w:val="none"/>
        </w:rPr>
        <w:t>根据</w:t>
      </w:r>
      <w:r>
        <w:rPr>
          <w:rFonts w:hint="eastAsia"/>
          <w:color w:val="auto"/>
          <w:highlight w:val="none"/>
        </w:rPr>
        <w:t>综合得分由高到低排列次序，优先</w:t>
      </w:r>
      <w:r>
        <w:rPr>
          <w:rFonts w:hint="eastAsia"/>
          <w:color w:val="auto"/>
          <w:szCs w:val="21"/>
          <w:highlight w:val="none"/>
        </w:rPr>
        <w:t>选择综合评分最高的供应商</w:t>
      </w:r>
      <w:r>
        <w:rPr>
          <w:rFonts w:hint="eastAsia"/>
          <w:color w:val="auto"/>
          <w:szCs w:val="21"/>
          <w:highlight w:val="none"/>
          <w:lang w:val="en-US" w:eastAsia="zh-CN"/>
        </w:rPr>
        <w:t>为成交供应商</w:t>
      </w:r>
      <w:r>
        <w:rPr>
          <w:rFonts w:hint="eastAsia"/>
          <w:color w:val="auto"/>
          <w:szCs w:val="21"/>
          <w:highlight w:val="none"/>
          <w:lang w:eastAsia="zh-CN"/>
        </w:rPr>
        <w:t>，</w:t>
      </w:r>
      <w:r>
        <w:rPr>
          <w:rFonts w:hint="eastAsia"/>
          <w:color w:val="auto"/>
          <w:szCs w:val="21"/>
          <w:highlight w:val="none"/>
          <w:lang w:val="en-US" w:eastAsia="zh-CN"/>
        </w:rPr>
        <w:t>综合得分次之的供应商为备选供应商</w:t>
      </w:r>
      <w:r>
        <w:rPr>
          <w:rFonts w:hint="eastAsia"/>
          <w:color w:val="auto"/>
          <w:szCs w:val="21"/>
          <w:highlight w:val="none"/>
        </w:rPr>
        <w:t>。</w:t>
      </w:r>
    </w:p>
    <w:p>
      <w:pPr>
        <w:autoSpaceDE w:val="0"/>
        <w:autoSpaceDN w:val="0"/>
        <w:adjustRightInd w:val="0"/>
        <w:spacing w:line="360" w:lineRule="auto"/>
        <w:ind w:firstLine="480" w:firstLineChars="200"/>
        <w:rPr>
          <w:color w:val="auto"/>
          <w:highlight w:val="none"/>
        </w:rPr>
      </w:pPr>
      <w:r>
        <w:rPr>
          <w:color w:val="auto"/>
          <w:highlight w:val="none"/>
        </w:rPr>
        <w:t>5</w:t>
      </w:r>
      <w:r>
        <w:rPr>
          <w:rFonts w:hint="eastAsia"/>
          <w:color w:val="auto"/>
          <w:highlight w:val="none"/>
        </w:rPr>
        <w:t>.2.</w:t>
      </w:r>
      <w:r>
        <w:rPr>
          <w:color w:val="auto"/>
          <w:highlight w:val="none"/>
        </w:rPr>
        <w:t xml:space="preserve">3 </w:t>
      </w:r>
      <w:r>
        <w:rPr>
          <w:rFonts w:hint="eastAsia"/>
          <w:color w:val="auto"/>
          <w:highlight w:val="none"/>
        </w:rPr>
        <w:t>供应商须知前附表设定最高</w:t>
      </w:r>
      <w:r>
        <w:rPr>
          <w:rFonts w:hint="eastAsia"/>
          <w:color w:val="auto"/>
          <w:highlight w:val="none"/>
          <w:lang w:val="en-US" w:eastAsia="zh-CN"/>
        </w:rPr>
        <w:t>报价</w:t>
      </w:r>
      <w:r>
        <w:rPr>
          <w:rFonts w:hint="eastAsia"/>
          <w:color w:val="auto"/>
          <w:highlight w:val="none"/>
        </w:rPr>
        <w:t>限价的，超过最高</w:t>
      </w:r>
      <w:r>
        <w:rPr>
          <w:rFonts w:hint="eastAsia"/>
          <w:color w:val="auto"/>
          <w:highlight w:val="none"/>
          <w:lang w:val="en-US" w:eastAsia="zh-CN"/>
        </w:rPr>
        <w:t>报价</w:t>
      </w:r>
      <w:r>
        <w:rPr>
          <w:rFonts w:hint="eastAsia"/>
          <w:color w:val="auto"/>
          <w:highlight w:val="none"/>
        </w:rPr>
        <w:t>限价的</w:t>
      </w:r>
      <w:r>
        <w:rPr>
          <w:rFonts w:hint="eastAsia"/>
          <w:color w:val="auto"/>
          <w:highlight w:val="none"/>
          <w:lang w:val="en-US" w:eastAsia="zh-CN"/>
        </w:rPr>
        <w:t>供应商</w:t>
      </w:r>
      <w:r>
        <w:rPr>
          <w:rFonts w:hint="eastAsia"/>
          <w:color w:val="auto"/>
          <w:highlight w:val="none"/>
        </w:rPr>
        <w:t>不具备</w:t>
      </w:r>
      <w:r>
        <w:rPr>
          <w:rFonts w:hint="eastAsia"/>
          <w:color w:val="auto"/>
          <w:highlight w:val="none"/>
          <w:lang w:val="en-US" w:eastAsia="zh-CN"/>
        </w:rPr>
        <w:t>成交</w:t>
      </w:r>
      <w:r>
        <w:rPr>
          <w:rFonts w:hint="eastAsia"/>
          <w:color w:val="auto"/>
          <w:highlight w:val="none"/>
        </w:rPr>
        <w:t>资格。</w:t>
      </w:r>
    </w:p>
    <w:p>
      <w:pPr>
        <w:spacing w:before="156" w:beforeLines="50" w:after="156" w:afterLines="50"/>
        <w:rPr>
          <w:b/>
          <w:color w:val="auto"/>
          <w:highlight w:val="none"/>
        </w:rPr>
      </w:pPr>
      <w:r>
        <w:rPr>
          <w:b/>
          <w:color w:val="auto"/>
          <w:highlight w:val="none"/>
        </w:rPr>
        <w:t>5</w:t>
      </w:r>
      <w:r>
        <w:rPr>
          <w:rFonts w:hint="eastAsia"/>
          <w:b/>
          <w:color w:val="auto"/>
          <w:highlight w:val="none"/>
        </w:rPr>
        <w:t>.3 评审</w:t>
      </w:r>
    </w:p>
    <w:p>
      <w:pPr>
        <w:autoSpaceDE w:val="0"/>
        <w:autoSpaceDN w:val="0"/>
        <w:adjustRightInd w:val="0"/>
        <w:spacing w:line="360" w:lineRule="auto"/>
        <w:ind w:firstLine="480" w:firstLineChars="200"/>
        <w:rPr>
          <w:color w:val="auto"/>
          <w:highlight w:val="none"/>
        </w:rPr>
      </w:pPr>
      <w:r>
        <w:rPr>
          <w:rFonts w:hint="eastAsia"/>
          <w:color w:val="auto"/>
          <w:highlight w:val="none"/>
        </w:rPr>
        <w:t>磋商小组按照第五部分“评审标准及方法”规定的方法、评审因素、标准和程序对响应文件进行评审。</w:t>
      </w:r>
    </w:p>
    <w:p>
      <w:pPr>
        <w:spacing w:before="156" w:beforeLines="50" w:after="156" w:afterLines="50"/>
        <w:rPr>
          <w:b/>
          <w:color w:val="auto"/>
          <w:highlight w:val="none"/>
        </w:rPr>
      </w:pPr>
      <w:bookmarkStart w:id="33" w:name="_Toc467851150"/>
      <w:bookmarkStart w:id="34" w:name="_Toc55483929"/>
      <w:bookmarkStart w:id="35" w:name="_Toc432068502"/>
      <w:bookmarkStart w:id="36" w:name="_Toc19537"/>
      <w:r>
        <w:rPr>
          <w:rFonts w:cs="黑体"/>
          <w:color w:val="auto"/>
          <w:highlight w:val="none"/>
        </w:rPr>
        <w:t>6</w:t>
      </w:r>
      <w:r>
        <w:rPr>
          <w:rFonts w:hint="eastAsia" w:cs="黑体"/>
          <w:color w:val="auto"/>
          <w:highlight w:val="none"/>
        </w:rPr>
        <w:t>.</w:t>
      </w:r>
      <w:bookmarkEnd w:id="33"/>
      <w:bookmarkEnd w:id="34"/>
      <w:bookmarkEnd w:id="35"/>
      <w:bookmarkEnd w:id="36"/>
      <w:r>
        <w:rPr>
          <w:rFonts w:hint="eastAsia"/>
          <w:b/>
          <w:color w:val="auto"/>
          <w:highlight w:val="none"/>
        </w:rPr>
        <w:t>签订合同</w:t>
      </w:r>
    </w:p>
    <w:p>
      <w:pPr>
        <w:autoSpaceDE w:val="0"/>
        <w:autoSpaceDN w:val="0"/>
        <w:adjustRightInd w:val="0"/>
        <w:spacing w:line="360" w:lineRule="auto"/>
        <w:ind w:firstLine="480" w:firstLineChars="200"/>
        <w:rPr>
          <w:rFonts w:hint="eastAsia"/>
          <w:color w:val="auto"/>
          <w:highlight w:val="none"/>
        </w:rPr>
      </w:pPr>
      <w:r>
        <w:rPr>
          <w:color w:val="auto"/>
          <w:highlight w:val="none"/>
        </w:rPr>
        <w:t>6</w:t>
      </w:r>
      <w:r>
        <w:rPr>
          <w:rFonts w:hint="eastAsia"/>
          <w:color w:val="auto"/>
          <w:highlight w:val="none"/>
        </w:rPr>
        <w:t>.</w:t>
      </w:r>
      <w:r>
        <w:rPr>
          <w:color w:val="auto"/>
          <w:highlight w:val="none"/>
        </w:rPr>
        <w:t>3</w:t>
      </w:r>
      <w:r>
        <w:rPr>
          <w:rFonts w:hint="eastAsia"/>
          <w:color w:val="auto"/>
          <w:highlight w:val="none"/>
        </w:rPr>
        <w:t>.1 采购人和成交供应商应当在响应文件有效期内以及成交通知书发出之日起30日之内，根据磋商文件和成交供应商的响应文件订立书面合同。成交供应商无正当理由拒签合同的，采购人取消其</w:t>
      </w:r>
      <w:r>
        <w:rPr>
          <w:rFonts w:hint="eastAsia"/>
          <w:color w:val="auto"/>
          <w:highlight w:val="none"/>
          <w:lang w:val="en-US" w:eastAsia="zh-CN"/>
        </w:rPr>
        <w:t>成交</w:t>
      </w:r>
      <w:r>
        <w:rPr>
          <w:rFonts w:hint="eastAsia"/>
          <w:color w:val="auto"/>
          <w:highlight w:val="none"/>
        </w:rPr>
        <w:t>资格。</w:t>
      </w:r>
      <w:r>
        <w:rPr>
          <w:rFonts w:hint="eastAsia"/>
          <w:color w:val="auto"/>
          <w:highlight w:val="none"/>
          <w:lang w:val="en-US" w:eastAsia="zh-CN"/>
        </w:rPr>
        <w:t>如成交供应商拒签或其他原因造成不能按期签约的，采购人有权选择备选供应商签约。</w:t>
      </w: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autoSpaceDE w:val="0"/>
        <w:autoSpaceDN w:val="0"/>
        <w:adjustRightInd w:val="0"/>
        <w:spacing w:line="360" w:lineRule="auto"/>
        <w:ind w:firstLine="480" w:firstLineChars="200"/>
        <w:rPr>
          <w:rFonts w:hint="eastAsia"/>
          <w:color w:val="auto"/>
          <w:highlight w:val="none"/>
        </w:rPr>
      </w:pPr>
    </w:p>
    <w:p>
      <w:pPr>
        <w:keepNext/>
        <w:keepLines/>
        <w:adjustRightInd w:val="0"/>
        <w:snapToGrid w:val="0"/>
        <w:jc w:val="center"/>
        <w:outlineLvl w:val="1"/>
        <w:rPr>
          <w:rFonts w:ascii="方正小标宋简体" w:hAnsi="Times New Roman" w:eastAsia="方正小标宋简体" w:cs="Times New Roman"/>
          <w:bCs/>
          <w:color w:val="auto"/>
          <w:sz w:val="44"/>
          <w:szCs w:val="44"/>
          <w:highlight w:val="none"/>
        </w:rPr>
      </w:pPr>
      <w:r>
        <w:rPr>
          <w:rFonts w:hint="eastAsia" w:ascii="方正小标宋简体" w:hAnsi="Times New Roman" w:eastAsia="方正小标宋简体" w:cs="Times New Roman"/>
          <w:bCs/>
          <w:color w:val="auto"/>
          <w:sz w:val="44"/>
          <w:szCs w:val="44"/>
          <w:highlight w:val="none"/>
        </w:rPr>
        <w:t>第三部分   采购需求</w:t>
      </w:r>
    </w:p>
    <w:tbl>
      <w:tblPr>
        <w:tblStyle w:val="31"/>
        <w:tblpPr w:leftFromText="180" w:rightFromText="180" w:vertAnchor="text" w:horzAnchor="page" w:tblpX="1032" w:tblpY="11"/>
        <w:tblOverlap w:val="never"/>
        <w:tblW w:w="9877" w:type="dxa"/>
        <w:tblInd w:w="0" w:type="dxa"/>
        <w:tblLayout w:type="fixed"/>
        <w:tblCellMar>
          <w:top w:w="0" w:type="dxa"/>
          <w:left w:w="108" w:type="dxa"/>
          <w:bottom w:w="0" w:type="dxa"/>
          <w:right w:w="108" w:type="dxa"/>
        </w:tblCellMar>
      </w:tblPr>
      <w:tblGrid>
        <w:gridCol w:w="2737"/>
        <w:gridCol w:w="7140"/>
      </w:tblGrid>
      <w:tr>
        <w:tblPrEx>
          <w:tblLayout w:type="fixed"/>
          <w:tblCellMar>
            <w:top w:w="0" w:type="dxa"/>
            <w:left w:w="108" w:type="dxa"/>
            <w:bottom w:w="0" w:type="dxa"/>
            <w:right w:w="108" w:type="dxa"/>
          </w:tblCellMar>
        </w:tblPrEx>
        <w:trPr>
          <w:trHeight w:val="605" w:hRule="atLeast"/>
        </w:trPr>
        <w:tc>
          <w:tcPr>
            <w:tcW w:w="2737" w:type="dxa"/>
            <w:tcBorders>
              <w:top w:val="single" w:color="auto" w:sz="6" w:space="0"/>
              <w:left w:val="single" w:color="auto" w:sz="6" w:space="0"/>
              <w:bottom w:val="single" w:color="auto" w:sz="6" w:space="0"/>
              <w:right w:val="single" w:color="auto" w:sz="6" w:space="0"/>
            </w:tcBorders>
            <w:vAlign w:val="center"/>
          </w:tcPr>
          <w:p>
            <w:pPr>
              <w:keepNext/>
              <w:keepLines/>
              <w:adjustRightInd w:val="0"/>
              <w:snapToGrid w:val="0"/>
              <w:spacing w:line="440" w:lineRule="exact"/>
              <w:jc w:val="center"/>
              <w:rPr>
                <w:rFonts w:cs="仿宋_GB2312"/>
                <w:color w:val="auto"/>
                <w:highlight w:val="none"/>
                <w:lang w:val="zh-CN"/>
              </w:rPr>
            </w:pPr>
            <w:r>
              <w:rPr>
                <w:rFonts w:hint="eastAsia" w:cs="仿宋_GB2312"/>
                <w:color w:val="auto"/>
                <w:highlight w:val="none"/>
                <w:lang w:val="zh-CN"/>
              </w:rPr>
              <w:t>采购项目名称</w:t>
            </w:r>
          </w:p>
        </w:tc>
        <w:tc>
          <w:tcPr>
            <w:tcW w:w="7140" w:type="dxa"/>
            <w:tcBorders>
              <w:top w:val="single" w:color="auto" w:sz="6" w:space="0"/>
              <w:left w:val="single" w:color="auto" w:sz="6" w:space="0"/>
              <w:bottom w:val="single" w:color="auto" w:sz="6" w:space="0"/>
              <w:right w:val="single" w:color="auto" w:sz="6" w:space="0"/>
            </w:tcBorders>
            <w:vAlign w:val="center"/>
          </w:tcPr>
          <w:p>
            <w:pPr>
              <w:keepNext/>
              <w:keepLines/>
              <w:adjustRightInd w:val="0"/>
              <w:snapToGrid w:val="0"/>
              <w:spacing w:line="480" w:lineRule="exact"/>
              <w:jc w:val="center"/>
              <w:rPr>
                <w:rFonts w:cs="仿宋_GB2312"/>
                <w:color w:val="auto"/>
                <w:sz w:val="28"/>
                <w:szCs w:val="28"/>
                <w:highlight w:val="none"/>
                <w:lang w:val="zh-CN"/>
              </w:rPr>
            </w:pPr>
            <w:r>
              <w:rPr>
                <w:rFonts w:hint="eastAsia" w:cs="Times New Roman"/>
                <w:color w:val="auto"/>
                <w:sz w:val="28"/>
                <w:szCs w:val="28"/>
                <w:highlight w:val="none"/>
                <w:lang w:val="en-US" w:eastAsia="zh-CN"/>
              </w:rPr>
              <w:t>广西壮族自治区农村信用社联合社</w:t>
            </w:r>
            <w:r>
              <w:rPr>
                <w:rFonts w:hint="eastAsia" w:cs="Times New Roman"/>
                <w:color w:val="auto"/>
                <w:sz w:val="28"/>
                <w:szCs w:val="28"/>
                <w:highlight w:val="none"/>
              </w:rPr>
              <w:t>健康保障委托管理服务</w:t>
            </w:r>
            <w:r>
              <w:rPr>
                <w:rFonts w:hint="eastAsia" w:cs="Times New Roman"/>
                <w:color w:val="auto"/>
                <w:sz w:val="28"/>
                <w:szCs w:val="28"/>
                <w:highlight w:val="none"/>
                <w:lang w:val="en-US" w:eastAsia="zh-CN"/>
              </w:rPr>
              <w:t>项目</w:t>
            </w:r>
          </w:p>
        </w:tc>
      </w:tr>
      <w:tr>
        <w:tblPrEx>
          <w:tblLayout w:type="fixed"/>
          <w:tblCellMar>
            <w:top w:w="0" w:type="dxa"/>
            <w:left w:w="108" w:type="dxa"/>
            <w:bottom w:w="0" w:type="dxa"/>
            <w:right w:w="108" w:type="dxa"/>
          </w:tblCellMar>
        </w:tblPrEx>
        <w:trPr>
          <w:trHeight w:val="919" w:hRule="atLeast"/>
        </w:trPr>
        <w:tc>
          <w:tcPr>
            <w:tcW w:w="9877" w:type="dxa"/>
            <w:gridSpan w:val="2"/>
            <w:tcBorders>
              <w:top w:val="single" w:color="auto" w:sz="6" w:space="0"/>
              <w:left w:val="single" w:color="auto" w:sz="6" w:space="0"/>
              <w:bottom w:val="single" w:color="auto" w:sz="6" w:space="0"/>
              <w:right w:val="single" w:color="auto" w:sz="6" w:space="0"/>
            </w:tcBorders>
          </w:tcPr>
          <w:p>
            <w:pPr>
              <w:keepNext/>
              <w:keepLines/>
              <w:adjustRightInd w:val="0"/>
              <w:snapToGrid w:val="0"/>
              <w:spacing w:line="440" w:lineRule="exact"/>
              <w:rPr>
                <w:rFonts w:ascii="黑体" w:hAnsi="黑体" w:eastAsia="黑体" w:cs="仿宋_GB2312"/>
                <w:b/>
                <w:color w:val="auto"/>
                <w:sz w:val="28"/>
                <w:szCs w:val="28"/>
                <w:highlight w:val="none"/>
                <w:lang w:val="zh-CN"/>
              </w:rPr>
            </w:pPr>
            <w:r>
              <w:rPr>
                <w:rFonts w:hint="eastAsia" w:ascii="黑体" w:hAnsi="黑体" w:eastAsia="黑体" w:cs="仿宋_GB2312"/>
                <w:b/>
                <w:color w:val="auto"/>
                <w:sz w:val="28"/>
                <w:szCs w:val="28"/>
                <w:highlight w:val="none"/>
                <w:lang w:val="zh-CN"/>
              </w:rPr>
              <w:t>服务内容：</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（一）管理费用</w:t>
            </w:r>
          </w:p>
          <w:p>
            <w:pPr>
              <w:keepNext/>
              <w:keepLines/>
              <w:adjustRightInd w:val="0"/>
              <w:snapToGrid w:val="0"/>
              <w:spacing w:line="440" w:lineRule="exact"/>
              <w:ind w:left="120"/>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1.初始费用：采购人委托供应商管理的每笔资金，供应商应按双方约定的管理费比例一次性</w:t>
            </w:r>
          </w:p>
          <w:p>
            <w:pPr>
              <w:keepNext/>
              <w:keepLines/>
              <w:adjustRightInd w:val="0"/>
              <w:snapToGrid w:val="0"/>
              <w:spacing w:line="440" w:lineRule="exact"/>
              <w:ind w:left="120"/>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收取。</w:t>
            </w:r>
          </w:p>
          <w:p>
            <w:pPr>
              <w:keepNext/>
              <w:keepLines/>
              <w:adjustRightInd w:val="0"/>
              <w:snapToGrid w:val="0"/>
              <w:spacing w:line="440" w:lineRule="exact"/>
              <w:ind w:left="120"/>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2.对理赔、退保以及对合同项下账户之间的资金流转等不再收取费用。</w:t>
            </w:r>
          </w:p>
          <w:p>
            <w:pPr>
              <w:keepNext/>
              <w:keepLines/>
              <w:adjustRightInd w:val="0"/>
              <w:snapToGrid w:val="0"/>
              <w:spacing w:line="440" w:lineRule="exact"/>
              <w:ind w:left="120"/>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3.以上费用的收取标准由采购人和供应商约定后在合同中载明。</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（二）委托基金管理</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1.账户设立：为采购人设置公共账户和个人账户，采购人可定期或不定期、定额或不定额增</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加委托基金，将委托基金分别计入公共账户及个人账户。</w:t>
            </w:r>
          </w:p>
          <w:p>
            <w:pPr>
              <w:keepNext/>
              <w:keepLines/>
              <w:adjustRightInd w:val="0"/>
              <w:snapToGrid w:val="0"/>
              <w:spacing w:line="440" w:lineRule="exact"/>
              <w:rPr>
                <w:rFonts w:hint="eastAsia" w:asciiTheme="minorEastAsia" w:hAnsi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2.</w:t>
            </w:r>
            <w:r>
              <w:rPr>
                <w:rFonts w:hint="eastAsia" w:asciiTheme="minorEastAsia" w:hAnsiTheme="minorEastAsia" w:cstheme="minorEastAsia"/>
                <w:color w:val="auto"/>
                <w:highlight w:val="none"/>
                <w:lang w:val="zh-CN"/>
              </w:rPr>
              <w:t>委托基金增值：对委托基金在每个自然年度末或账户注销时，按当时中国人民银行颁布的</w:t>
            </w:r>
            <w:r>
              <w:rPr>
                <w:rFonts w:hint="eastAsia" w:asciiTheme="minorEastAsia" w:hAnsiTheme="minorEastAsia" w:cstheme="minorEastAsia"/>
                <w:color w:val="auto"/>
                <w:highlight w:val="none"/>
                <w:lang w:val="en-US" w:eastAsia="zh-CN"/>
              </w:rPr>
              <w:t xml:space="preserve"> </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cstheme="minorEastAsia"/>
                <w:color w:val="auto"/>
                <w:highlight w:val="none"/>
                <w:lang w:val="zh-CN"/>
              </w:rPr>
              <w:t>活期存款基准利率计息，利息收入分别计入各账户的对应部分。</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3.委托基金转移（减保）：采购人可随时申请委托基金的转移。</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4.委托基金结余处理：委托管理期届满且委托基金有余额的，如供应商有变化，供应商应无</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条件支持在规定期限内将基金余额转给采购人。</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（三）赔付条件</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1.个人账户的赔付。员工个人自付的医疗费用，包括住院医疗、门（急）诊、药店购药等，</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在个人账户剩余额度内100%给付。但以下情形不予支付：</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1）用于美容、矫形等治疗的；</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2）因犯罪或其他违法违规行为造成伤病的；</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3）属于工伤保险（含职业病）或生育保险支付范围的；</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4）在国（境）外发生的医疗费用；</w:t>
            </w:r>
          </w:p>
          <w:p>
            <w:pPr>
              <w:keepNext/>
              <w:keepLines/>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rPr>
              <w:t xml:space="preserve">    </w:t>
            </w:r>
            <w:r>
              <w:rPr>
                <w:rFonts w:hint="eastAsia" w:asciiTheme="minorEastAsia" w:hAnsiTheme="minorEastAsia" w:cstheme="minorEastAsia"/>
                <w:color w:val="auto"/>
                <w:highlight w:val="none"/>
                <w:lang w:val="zh-CN"/>
              </w:rPr>
              <w:t>5）采购人规定的其他不予支付费用的情形。</w:t>
            </w:r>
          </w:p>
          <w:p>
            <w:pPr>
              <w:keepNext/>
              <w:keepLines/>
              <w:numPr>
                <w:ilvl w:val="0"/>
                <w:numId w:val="5"/>
              </w:numPr>
              <w:adjustRightInd w:val="0"/>
              <w:snapToGrid w:val="0"/>
              <w:spacing w:line="440" w:lineRule="exact"/>
              <w:rPr>
                <w:rFonts w:asciiTheme="minorEastAsia" w:hAnsiTheme="minorEastAsia" w:cstheme="minorEastAsia"/>
                <w:color w:val="auto"/>
                <w:highlight w:val="none"/>
                <w:lang w:val="zh-CN"/>
              </w:rPr>
            </w:pPr>
            <w:r>
              <w:rPr>
                <w:rFonts w:hint="eastAsia" w:asciiTheme="minorEastAsia" w:hAnsiTheme="minorEastAsia" w:cstheme="minorEastAsia"/>
                <w:color w:val="auto"/>
                <w:highlight w:val="none"/>
                <w:lang w:val="zh-CN"/>
              </w:rPr>
              <w:t>公共账户的赔付。公共账户额度的费用赔付，必须由采购人通知供应商后才可进行赔付。</w:t>
            </w:r>
          </w:p>
          <w:p>
            <w:pPr>
              <w:pStyle w:val="12"/>
              <w:rPr>
                <w:color w:val="auto"/>
                <w:highlight w:val="none"/>
              </w:rPr>
            </w:pPr>
            <w:r>
              <w:rPr>
                <w:rFonts w:hint="eastAsia" w:ascii="黑体" w:hAnsi="黑体" w:eastAsia="黑体" w:cs="仿宋_GB2312"/>
                <w:b/>
                <w:color w:val="auto"/>
                <w:sz w:val="28"/>
                <w:szCs w:val="28"/>
                <w:highlight w:val="none"/>
              </w:rPr>
              <w:t>服务期限：</w:t>
            </w:r>
            <w:r>
              <w:rPr>
                <w:rFonts w:hint="eastAsia"/>
                <w:color w:val="auto"/>
                <w:highlight w:val="none"/>
              </w:rPr>
              <w:t>三年</w:t>
            </w:r>
          </w:p>
        </w:tc>
      </w:tr>
      <w:tr>
        <w:tblPrEx>
          <w:tblLayout w:type="fixed"/>
          <w:tblCellMar>
            <w:top w:w="0" w:type="dxa"/>
            <w:left w:w="108" w:type="dxa"/>
            <w:bottom w:w="0" w:type="dxa"/>
            <w:right w:w="108" w:type="dxa"/>
          </w:tblCellMar>
        </w:tblPrEx>
        <w:trPr>
          <w:trHeight w:val="411" w:hRule="atLeast"/>
        </w:trPr>
        <w:tc>
          <w:tcPr>
            <w:tcW w:w="9877" w:type="dxa"/>
            <w:gridSpan w:val="2"/>
            <w:tcBorders>
              <w:top w:val="single" w:color="auto" w:sz="6" w:space="0"/>
              <w:left w:val="single" w:color="auto" w:sz="6" w:space="0"/>
              <w:bottom w:val="single" w:color="auto" w:sz="6" w:space="0"/>
              <w:right w:val="single" w:color="auto" w:sz="6" w:space="0"/>
            </w:tcBorders>
          </w:tcPr>
          <w:p>
            <w:pPr>
              <w:keepNext/>
              <w:keepLines/>
              <w:adjustRightInd w:val="0"/>
              <w:snapToGrid w:val="0"/>
              <w:spacing w:line="460" w:lineRule="exact"/>
              <w:rPr>
                <w:rFonts w:ascii="黑体" w:hAnsi="黑体" w:eastAsia="黑体" w:cs="仿宋_GB2312"/>
                <w:b/>
                <w:color w:val="auto"/>
                <w:sz w:val="28"/>
                <w:szCs w:val="28"/>
                <w:highlight w:val="none"/>
                <w:lang w:val="zh-CN"/>
              </w:rPr>
            </w:pPr>
            <w:r>
              <w:rPr>
                <w:rFonts w:hint="eastAsia" w:ascii="黑体" w:hAnsi="黑体" w:eastAsia="黑体" w:cs="仿宋_GB2312"/>
                <w:b/>
                <w:color w:val="auto"/>
                <w:sz w:val="28"/>
                <w:szCs w:val="28"/>
                <w:highlight w:val="none"/>
                <w:lang w:val="zh-CN"/>
              </w:rPr>
              <w:t>服务要求：</w:t>
            </w:r>
          </w:p>
          <w:p>
            <w:pPr>
              <w:keepNext/>
              <w:keepLines/>
              <w:numPr>
                <w:ilvl w:val="0"/>
                <w:numId w:val="6"/>
              </w:numPr>
              <w:adjustRightInd w:val="0"/>
              <w:snapToGrid w:val="0"/>
              <w:spacing w:line="460" w:lineRule="exact"/>
              <w:rPr>
                <w:rFonts w:cs="Calibri"/>
                <w:bCs/>
                <w:color w:val="auto"/>
                <w:highlight w:val="none"/>
              </w:rPr>
            </w:pPr>
            <w:r>
              <w:rPr>
                <w:rFonts w:hint="eastAsia" w:cs="Calibri"/>
                <w:bCs/>
                <w:color w:val="auto"/>
                <w:highlight w:val="none"/>
              </w:rPr>
              <w:t>制作服务手册，包括赔付流程、材料要求、赔付时效、专属服务团队人员及联系方式等，并对员工进行培训。</w:t>
            </w:r>
          </w:p>
          <w:p>
            <w:pPr>
              <w:keepNext/>
              <w:keepLines/>
              <w:numPr>
                <w:ilvl w:val="0"/>
                <w:numId w:val="6"/>
              </w:numPr>
              <w:adjustRightInd w:val="0"/>
              <w:snapToGrid w:val="0"/>
              <w:spacing w:line="460" w:lineRule="exact"/>
              <w:rPr>
                <w:rFonts w:cs="Calibri"/>
                <w:bCs/>
                <w:color w:val="auto"/>
                <w:highlight w:val="none"/>
              </w:rPr>
            </w:pPr>
            <w:r>
              <w:rPr>
                <w:rFonts w:hint="eastAsia" w:cs="Calibri"/>
                <w:bCs/>
                <w:color w:val="auto"/>
                <w:highlight w:val="none"/>
              </w:rPr>
              <w:t>每月至少到采购人指定地点收集单据</w:t>
            </w:r>
            <w:r>
              <w:rPr>
                <w:rFonts w:hint="eastAsia" w:cs="Calibri"/>
                <w:bCs/>
                <w:color w:val="auto"/>
                <w:highlight w:val="none"/>
                <w:lang w:val="en-US" w:eastAsia="zh-CN"/>
              </w:rPr>
              <w:t>4</w:t>
            </w:r>
            <w:r>
              <w:rPr>
                <w:rFonts w:hint="eastAsia" w:cs="Calibri"/>
                <w:bCs/>
                <w:color w:val="auto"/>
                <w:highlight w:val="none"/>
              </w:rPr>
              <w:t>次，及时理赔，</w:t>
            </w:r>
            <w:r>
              <w:rPr>
                <w:rFonts w:hint="eastAsia" w:cs="Calibri"/>
                <w:bCs/>
                <w:color w:val="auto"/>
                <w:highlight w:val="none"/>
                <w:lang w:val="en-US" w:eastAsia="zh-CN"/>
              </w:rPr>
              <w:t>3</w:t>
            </w:r>
            <w:r>
              <w:rPr>
                <w:rFonts w:hint="eastAsia" w:cs="Calibri"/>
                <w:bCs/>
                <w:color w:val="auto"/>
                <w:highlight w:val="none"/>
              </w:rPr>
              <w:t>个工作日内完成保险费支付。</w:t>
            </w:r>
          </w:p>
          <w:p>
            <w:pPr>
              <w:keepNext/>
              <w:keepLines/>
              <w:numPr>
                <w:ilvl w:val="0"/>
                <w:numId w:val="6"/>
              </w:numPr>
              <w:adjustRightInd w:val="0"/>
              <w:snapToGrid w:val="0"/>
              <w:spacing w:line="460" w:lineRule="exact"/>
              <w:rPr>
                <w:rFonts w:cs="Calibri"/>
                <w:bCs/>
                <w:color w:val="auto"/>
                <w:highlight w:val="none"/>
              </w:rPr>
            </w:pPr>
            <w:r>
              <w:rPr>
                <w:rFonts w:hint="eastAsia" w:cs="Calibri"/>
                <w:bCs/>
                <w:color w:val="auto"/>
                <w:highlight w:val="none"/>
              </w:rPr>
              <w:t>提供网络、手机APP赔付等便捷快速的理赔服务。</w:t>
            </w:r>
          </w:p>
          <w:p>
            <w:pPr>
              <w:keepNext/>
              <w:keepLines/>
              <w:numPr>
                <w:ilvl w:val="0"/>
                <w:numId w:val="6"/>
              </w:numPr>
              <w:adjustRightInd w:val="0"/>
              <w:snapToGrid w:val="0"/>
              <w:spacing w:line="460" w:lineRule="exact"/>
              <w:rPr>
                <w:rFonts w:cs="Calibri"/>
                <w:bCs/>
                <w:color w:val="auto"/>
                <w:highlight w:val="none"/>
              </w:rPr>
            </w:pPr>
            <w:r>
              <w:rPr>
                <w:rFonts w:hint="eastAsia" w:cs="Calibri"/>
                <w:bCs/>
                <w:color w:val="auto"/>
                <w:highlight w:val="none"/>
              </w:rPr>
              <w:t>配备专业专属的人员支持，对理赔手续、票据等材料准备、服务方式等进行答疑解惑。</w:t>
            </w:r>
          </w:p>
          <w:p>
            <w:pPr>
              <w:keepNext/>
              <w:keepLines/>
              <w:numPr>
                <w:ilvl w:val="0"/>
                <w:numId w:val="7"/>
              </w:numPr>
              <w:adjustRightInd w:val="0"/>
              <w:snapToGrid w:val="0"/>
              <w:spacing w:line="460" w:lineRule="exact"/>
              <w:rPr>
                <w:rFonts w:cs="Calibri"/>
                <w:bCs/>
                <w:color w:val="auto"/>
                <w:highlight w:val="none"/>
              </w:rPr>
            </w:pPr>
            <w:r>
              <w:rPr>
                <w:rFonts w:hint="eastAsia" w:cs="Calibri"/>
                <w:bCs/>
                <w:color w:val="auto"/>
                <w:highlight w:val="none"/>
              </w:rPr>
              <w:t>妥善保管托管资金，确保资金安全。每月做好报表（包括当月资金使用情况明细、资</w:t>
            </w:r>
          </w:p>
          <w:p>
            <w:pPr>
              <w:keepNext/>
              <w:keepLines/>
              <w:adjustRightInd w:val="0"/>
              <w:snapToGrid w:val="0"/>
              <w:spacing w:line="460" w:lineRule="exact"/>
              <w:rPr>
                <w:rFonts w:cs="Calibri"/>
                <w:bCs/>
                <w:color w:val="auto"/>
                <w:highlight w:val="none"/>
              </w:rPr>
            </w:pPr>
            <w:r>
              <w:rPr>
                <w:rFonts w:hint="eastAsia" w:cs="Calibri"/>
                <w:bCs/>
                <w:color w:val="auto"/>
                <w:highlight w:val="none"/>
              </w:rPr>
              <w:t xml:space="preserve">      金结余情况等），与采购人做好对账工作，接受采购人审计部门的审计和监督。</w:t>
            </w:r>
          </w:p>
          <w:p>
            <w:pPr>
              <w:keepNext/>
              <w:keepLines/>
              <w:adjustRightInd w:val="0"/>
              <w:snapToGrid w:val="0"/>
              <w:spacing w:line="460" w:lineRule="exact"/>
              <w:rPr>
                <w:rFonts w:ascii="黑体" w:hAnsi="黑体" w:eastAsia="黑体" w:cs="黑体"/>
                <w:b/>
                <w:color w:val="auto"/>
                <w:sz w:val="28"/>
                <w:szCs w:val="28"/>
                <w:highlight w:val="none"/>
                <w:lang w:val="zh-CN"/>
              </w:rPr>
            </w:pPr>
            <w:r>
              <w:rPr>
                <w:rFonts w:hint="eastAsia" w:ascii="黑体" w:hAnsi="黑体" w:eastAsia="黑体" w:cs="黑体"/>
                <w:b/>
                <w:color w:val="auto"/>
                <w:sz w:val="28"/>
                <w:szCs w:val="28"/>
                <w:highlight w:val="none"/>
                <w:lang w:val="zh-CN"/>
              </w:rPr>
              <w:t>其他可提供的增值服务：</w:t>
            </w:r>
          </w:p>
          <w:p>
            <w:pPr>
              <w:keepNext/>
              <w:keepLines/>
              <w:adjustRightInd w:val="0"/>
              <w:snapToGrid w:val="0"/>
              <w:spacing w:line="460" w:lineRule="exact"/>
              <w:rPr>
                <w:rFonts w:cs="Calibri"/>
                <w:b/>
                <w:bCs/>
                <w:color w:val="auto"/>
                <w:highlight w:val="none"/>
              </w:rPr>
            </w:pPr>
            <w:r>
              <w:rPr>
                <w:rFonts w:hint="eastAsia" w:cs="Calibri"/>
                <w:bCs/>
                <w:color w:val="auto"/>
                <w:highlight w:val="none"/>
                <w:lang w:val="en-US" w:eastAsia="zh-CN"/>
              </w:rPr>
              <w:t>包括但不限于：</w:t>
            </w:r>
            <w:r>
              <w:rPr>
                <w:rFonts w:hint="eastAsia" w:cs="Calibri"/>
                <w:bCs/>
                <w:color w:val="auto"/>
                <w:highlight w:val="none"/>
              </w:rPr>
              <w:t>VIP挂号、重病疾病住院、合同期内附赠采购人现行的同等条件的员工团体意外伤害险（意外伤害身故保险金额50万元/人、意外伤害残疾最高保险金额50万元/人、意外伤害医疗费用最高保险金额10万元/人、意外伤害住院津贴每天200元/人）等。</w:t>
            </w:r>
          </w:p>
        </w:tc>
      </w:tr>
    </w:tbl>
    <w:p>
      <w:pPr>
        <w:keepNext/>
        <w:keepLines/>
        <w:autoSpaceDE w:val="0"/>
        <w:autoSpaceDN w:val="0"/>
        <w:adjustRightInd w:val="0"/>
        <w:snapToGrid w:val="0"/>
        <w:jc w:val="center"/>
        <w:textAlignment w:val="bottom"/>
        <w:rPr>
          <w:rFonts w:hint="eastAsia" w:ascii="方正小标宋简体" w:hAnsi="Times New Roman" w:eastAsia="方正小标宋简体" w:cs="Times New Roman"/>
          <w:bCs/>
          <w:color w:val="auto"/>
          <w:sz w:val="44"/>
          <w:szCs w:val="44"/>
          <w:highlight w:val="none"/>
        </w:rPr>
      </w:pPr>
    </w:p>
    <w:p>
      <w:pPr>
        <w:keepNext/>
        <w:keepLines/>
        <w:autoSpaceDE w:val="0"/>
        <w:autoSpaceDN w:val="0"/>
        <w:adjustRightInd w:val="0"/>
        <w:snapToGrid w:val="0"/>
        <w:jc w:val="center"/>
        <w:textAlignment w:val="bottom"/>
        <w:rPr>
          <w:rFonts w:ascii="方正小标宋简体" w:hAnsi="Times New Roman" w:eastAsia="方正小标宋简体" w:cs="Times New Roman"/>
          <w:bCs/>
          <w:color w:val="auto"/>
          <w:sz w:val="44"/>
          <w:szCs w:val="44"/>
          <w:highlight w:val="none"/>
        </w:rPr>
      </w:pPr>
      <w:r>
        <w:rPr>
          <w:rFonts w:hint="eastAsia" w:ascii="方正小标宋简体" w:hAnsi="Times New Roman" w:eastAsia="方正小标宋简体" w:cs="Times New Roman"/>
          <w:bCs/>
          <w:color w:val="auto"/>
          <w:sz w:val="44"/>
          <w:szCs w:val="44"/>
          <w:highlight w:val="none"/>
        </w:rPr>
        <w:t>第四部分   合同样式及条款</w:t>
      </w:r>
    </w:p>
    <w:p>
      <w:pPr>
        <w:pStyle w:val="12"/>
        <w:jc w:val="center"/>
        <w:rPr>
          <w:rFonts w:eastAsia="方正小标宋简体"/>
          <w:color w:val="auto"/>
          <w:highlight w:val="none"/>
          <w:u w:val="single"/>
        </w:rPr>
      </w:pPr>
      <w:r>
        <w:rPr>
          <w:rFonts w:hint="eastAsia" w:eastAsia="方正小标宋简体"/>
          <w:color w:val="auto"/>
          <w:highlight w:val="none"/>
          <w:u w:val="single"/>
        </w:rPr>
        <w:t>（注：本合同样式仅供参考，签订合同时采购人与</w:t>
      </w:r>
      <w:r>
        <w:rPr>
          <w:rFonts w:hint="eastAsia" w:ascii="Times New Roman" w:hAnsi="Times New Roman" w:eastAsia="方正小标宋简体"/>
          <w:color w:val="auto"/>
          <w:highlight w:val="none"/>
          <w:u w:val="single"/>
        </w:rPr>
        <w:t>供应商</w:t>
      </w:r>
      <w:r>
        <w:rPr>
          <w:rFonts w:hint="eastAsia" w:eastAsia="方正小标宋简体"/>
          <w:color w:val="auto"/>
          <w:highlight w:val="none"/>
          <w:u w:val="single"/>
        </w:rPr>
        <w:t>根据</w:t>
      </w:r>
      <w:r>
        <w:rPr>
          <w:rFonts w:hint="eastAsia" w:eastAsia="方正小标宋简体"/>
          <w:color w:val="auto"/>
          <w:highlight w:val="none"/>
          <w:u w:val="single"/>
          <w:lang w:val="en-US" w:eastAsia="zh-CN"/>
        </w:rPr>
        <w:t>磋商</w:t>
      </w:r>
      <w:r>
        <w:rPr>
          <w:rFonts w:hint="eastAsia" w:eastAsia="方正小标宋简体"/>
          <w:color w:val="auto"/>
          <w:highlight w:val="none"/>
          <w:u w:val="single"/>
        </w:rPr>
        <w:t>情况适实调整。）</w:t>
      </w:r>
    </w:p>
    <w:p>
      <w:pPr>
        <w:spacing w:line="560" w:lineRule="exact"/>
        <w:rPr>
          <w:rFonts w:ascii="仿宋_GB2312" w:hAnsi="Times New Roman" w:eastAsia="仿宋_GB2312" w:cs="Times New Roman"/>
          <w:color w:val="auto"/>
          <w:sz w:val="36"/>
          <w:szCs w:val="36"/>
          <w:highlight w:val="none"/>
        </w:rPr>
      </w:pPr>
    </w:p>
    <w:p>
      <w:pPr>
        <w:spacing w:line="500" w:lineRule="exact"/>
        <w:rPr>
          <w:rFonts w:cs="仿宋_GB2312"/>
          <w:color w:val="auto"/>
          <w:szCs w:val="21"/>
          <w:highlight w:val="none"/>
        </w:rPr>
      </w:pPr>
    </w:p>
    <w:p>
      <w:pPr>
        <w:pStyle w:val="12"/>
        <w:rPr>
          <w:rFonts w:ascii="宋体" w:hAnsi="宋体" w:cs="仿宋_GB2312"/>
          <w:color w:val="auto"/>
          <w:szCs w:val="21"/>
          <w:highlight w:val="none"/>
        </w:rPr>
      </w:pPr>
      <w:r>
        <w:rPr>
          <w:rFonts w:hint="eastAsia" w:ascii="宋体" w:hAnsi="宋体" w:cs="仿宋_GB2312"/>
          <w:color w:val="auto"/>
          <w:szCs w:val="21"/>
          <w:highlight w:val="none"/>
        </w:rPr>
        <w:t xml:space="preserve">                                                                 合同编号：</w:t>
      </w:r>
    </w:p>
    <w:p>
      <w:pPr>
        <w:pStyle w:val="12"/>
        <w:rPr>
          <w:rFonts w:ascii="宋体" w:hAnsi="宋体" w:cs="仿宋_GB2312"/>
          <w:color w:val="auto"/>
          <w:szCs w:val="21"/>
          <w:highlight w:val="none"/>
        </w:rPr>
      </w:pPr>
    </w:p>
    <w:p>
      <w:pPr>
        <w:pStyle w:val="12"/>
        <w:rPr>
          <w:rFonts w:ascii="宋体" w:hAnsi="宋体" w:cs="仿宋_GB2312"/>
          <w:color w:val="auto"/>
          <w:szCs w:val="21"/>
          <w:highlight w:val="none"/>
        </w:rPr>
      </w:pPr>
    </w:p>
    <w:p>
      <w:pPr>
        <w:pStyle w:val="12"/>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团体健康保障委托管理产品合同</w:t>
      </w:r>
    </w:p>
    <w:p>
      <w:pPr>
        <w:pStyle w:val="12"/>
        <w:rPr>
          <w:rFonts w:ascii="宋体" w:hAnsi="宋体" w:cs="仿宋_GB2312"/>
          <w:color w:val="auto"/>
          <w:szCs w:val="21"/>
          <w:highlight w:val="none"/>
        </w:rPr>
      </w:pPr>
    </w:p>
    <w:p>
      <w:pPr>
        <w:pStyle w:val="12"/>
        <w:rPr>
          <w:rFonts w:ascii="宋体" w:hAnsi="宋体" w:cs="仿宋_GB2312"/>
          <w:color w:val="auto"/>
          <w:szCs w:val="21"/>
          <w:highlight w:val="none"/>
        </w:rPr>
      </w:pPr>
    </w:p>
    <w:p>
      <w:pPr>
        <w:spacing w:line="360" w:lineRule="exact"/>
        <w:rPr>
          <w:rFonts w:ascii="仿宋_GB2312" w:hAnsi="Times New Roman" w:eastAsia="仿宋_GB2312" w:cs="Times New Roman"/>
          <w:color w:val="auto"/>
          <w:highlight w:val="none"/>
        </w:rPr>
      </w:pP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 xml:space="preserve">委托人： </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法定代表人（或负责人）：</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 xml:space="preserve">地址： </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联系人：</w:t>
      </w:r>
    </w:p>
    <w:p>
      <w:pPr>
        <w:spacing w:line="560" w:lineRule="exact"/>
        <w:ind w:left="-29" w:leftChars="-12" w:firstLine="571" w:firstLineChars="204"/>
        <w:rPr>
          <w:rFonts w:ascii="黑体" w:hAnsi="Times New Roman" w:cs="Times New Roman"/>
          <w:b/>
          <w:bCs/>
          <w:color w:val="auto"/>
          <w:sz w:val="28"/>
          <w:szCs w:val="28"/>
          <w:highlight w:val="none"/>
        </w:rPr>
      </w:pPr>
      <w:r>
        <w:rPr>
          <w:rFonts w:hint="eastAsia" w:ascii="黑体" w:hAnsi="Times New Roman" w:cs="Times New Roman"/>
          <w:color w:val="auto"/>
          <w:sz w:val="28"/>
          <w:szCs w:val="28"/>
          <w:highlight w:val="none"/>
        </w:rPr>
        <w:t>联系方式：</w:t>
      </w:r>
    </w:p>
    <w:p>
      <w:pPr>
        <w:spacing w:line="560" w:lineRule="exact"/>
        <w:ind w:left="-29" w:leftChars="-12" w:firstLine="571" w:firstLineChars="204"/>
        <w:rPr>
          <w:rFonts w:ascii="仿宋_GB2312" w:hAnsi="Times New Roman" w:cs="Times New Roman"/>
          <w:color w:val="auto"/>
          <w:sz w:val="28"/>
          <w:szCs w:val="28"/>
          <w:highlight w:val="none"/>
        </w:rPr>
      </w:pPr>
    </w:p>
    <w:p>
      <w:pPr>
        <w:spacing w:line="560" w:lineRule="exact"/>
        <w:ind w:left="-29" w:leftChars="-12" w:firstLine="571" w:firstLineChars="204"/>
        <w:rPr>
          <w:rFonts w:ascii="仿宋_GB2312" w:hAnsi="Times New Roman" w:cs="Times New Roman"/>
          <w:color w:val="auto"/>
          <w:sz w:val="28"/>
          <w:szCs w:val="28"/>
          <w:highlight w:val="none"/>
        </w:rPr>
      </w:pPr>
    </w:p>
    <w:p>
      <w:pPr>
        <w:spacing w:line="560" w:lineRule="exact"/>
        <w:ind w:left="-29" w:leftChars="-12" w:firstLine="571" w:firstLineChars="204"/>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受托人：</w:t>
      </w:r>
      <w:r>
        <w:rPr>
          <w:rFonts w:hint="eastAsia" w:ascii="仿宋_GB2312" w:hAnsi="Times New Roman" w:cs="Times New Roman"/>
          <w:color w:val="auto"/>
          <w:sz w:val="28"/>
          <w:szCs w:val="28"/>
          <w:highlight w:val="none"/>
        </w:rPr>
        <w:t xml:space="preserve">   </w:t>
      </w:r>
    </w:p>
    <w:p>
      <w:pPr>
        <w:spacing w:line="560" w:lineRule="exact"/>
        <w:ind w:left="-29" w:leftChars="-12" w:firstLine="571" w:firstLineChars="204"/>
        <w:rPr>
          <w:rFonts w:ascii="黑体" w:hAnsi="Times New Roman" w:cs="Times New Roman"/>
          <w:color w:val="auto"/>
          <w:sz w:val="28"/>
          <w:szCs w:val="28"/>
          <w:highlight w:val="none"/>
        </w:rPr>
      </w:pPr>
      <w:r>
        <w:rPr>
          <w:rFonts w:hint="eastAsia" w:ascii="黑体" w:hAnsi="Times New Roman" w:cs="Times New Roman"/>
          <w:color w:val="auto"/>
          <w:sz w:val="28"/>
          <w:szCs w:val="28"/>
          <w:highlight w:val="none"/>
        </w:rPr>
        <w:t>法定代表人（或负责人）：</w:t>
      </w:r>
    </w:p>
    <w:p>
      <w:pPr>
        <w:spacing w:line="560" w:lineRule="exact"/>
        <w:ind w:left="-29" w:leftChars="-12" w:firstLine="571" w:firstLineChars="204"/>
        <w:rPr>
          <w:rFonts w:ascii="仿宋_GB2312" w:hAnsi="Times New Roman" w:cs="Times New Roman"/>
          <w:color w:val="auto"/>
          <w:sz w:val="28"/>
          <w:szCs w:val="28"/>
          <w:highlight w:val="none"/>
        </w:rPr>
      </w:pPr>
      <w:r>
        <w:rPr>
          <w:rFonts w:hint="eastAsia" w:ascii="仿宋_GB2312" w:hAnsi="Times New Roman" w:cs="Times New Roman"/>
          <w:color w:val="auto"/>
          <w:sz w:val="28"/>
          <w:szCs w:val="28"/>
          <w:highlight w:val="none"/>
        </w:rPr>
        <w:t xml:space="preserve">地址： </w:t>
      </w:r>
    </w:p>
    <w:p>
      <w:pPr>
        <w:spacing w:line="560" w:lineRule="exact"/>
        <w:ind w:left="-29" w:leftChars="-12" w:firstLine="571" w:firstLineChars="204"/>
        <w:rPr>
          <w:rFonts w:ascii="仿宋_GB2312" w:hAnsi="Times New Roman" w:cs="Times New Roman"/>
          <w:color w:val="auto"/>
          <w:sz w:val="28"/>
          <w:szCs w:val="28"/>
          <w:highlight w:val="none"/>
        </w:rPr>
      </w:pPr>
      <w:r>
        <w:rPr>
          <w:rFonts w:hint="eastAsia" w:ascii="仿宋_GB2312" w:hAnsi="Times New Roman" w:cs="Times New Roman"/>
          <w:color w:val="auto"/>
          <w:sz w:val="28"/>
          <w:szCs w:val="28"/>
          <w:highlight w:val="none"/>
        </w:rPr>
        <w:t>联系人：</w:t>
      </w:r>
    </w:p>
    <w:p>
      <w:pPr>
        <w:spacing w:line="560" w:lineRule="exact"/>
        <w:ind w:left="-29" w:leftChars="-12" w:firstLine="571" w:firstLineChars="204"/>
        <w:rPr>
          <w:rFonts w:ascii="仿宋_GB2312" w:hAnsi="Times New Roman" w:cs="Times New Roman"/>
          <w:color w:val="auto"/>
          <w:sz w:val="28"/>
          <w:szCs w:val="28"/>
          <w:highlight w:val="none"/>
        </w:rPr>
      </w:pPr>
      <w:r>
        <w:rPr>
          <w:rFonts w:hint="eastAsia" w:ascii="仿宋_GB2312" w:hAnsi="Times New Roman" w:cs="Times New Roman"/>
          <w:color w:val="auto"/>
          <w:sz w:val="28"/>
          <w:szCs w:val="28"/>
          <w:highlight w:val="none"/>
        </w:rPr>
        <w:t>联系方式：</w:t>
      </w:r>
    </w:p>
    <w:p>
      <w:pPr>
        <w:pStyle w:val="12"/>
        <w:rPr>
          <w:color w:val="auto"/>
          <w:highlight w:val="none"/>
        </w:rPr>
      </w:pPr>
    </w:p>
    <w:p>
      <w:pPr>
        <w:pStyle w:val="12"/>
        <w:rPr>
          <w:color w:val="auto"/>
          <w:highlight w:val="none"/>
        </w:rPr>
      </w:pPr>
    </w:p>
    <w:p>
      <w:pPr>
        <w:spacing w:line="600" w:lineRule="exact"/>
        <w:ind w:left="420" w:firstLine="470" w:firstLineChars="195"/>
        <w:rPr>
          <w:rFonts w:asciiTheme="minorEastAsia" w:hAnsiTheme="minorEastAsia" w:cstheme="minorEastAsia"/>
          <w:bCs/>
          <w:color w:val="auto"/>
          <w:highlight w:val="none"/>
        </w:rPr>
      </w:pPr>
      <w:r>
        <w:rPr>
          <w:rFonts w:hint="eastAsia" w:ascii="黑体" w:hAnsi="Times New Roman" w:eastAsia="黑体" w:cs="Times New Roman"/>
          <w:b/>
          <w:bCs/>
          <w:color w:val="auto"/>
          <w:highlight w:val="none"/>
        </w:rPr>
        <w:t xml:space="preserve"> </w:t>
      </w:r>
      <w:r>
        <w:rPr>
          <w:rFonts w:hint="eastAsia" w:asciiTheme="minorEastAsia" w:hAnsiTheme="minorEastAsia" w:cstheme="minorEastAsia"/>
          <w:bCs/>
          <w:color w:val="auto"/>
          <w:highlight w:val="none"/>
        </w:rPr>
        <w:t xml:space="preserve"> 为保证委托人、受托人双方的合法权益，规范双方的权利和义务，依据相关法律法规的规定，双方在平等、自愿、协商一致的基础上，就委托人的健康保障基金委托给受托人、由受托人提供相应的经办管理服务等具体事宜，订立本合同。</w:t>
      </w:r>
    </w:p>
    <w:p>
      <w:pPr>
        <w:spacing w:line="600" w:lineRule="exact"/>
        <w:ind w:left="420" w:firstLine="468" w:firstLineChars="195"/>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第一章  委托管理合同一般条款</w:t>
      </w:r>
    </w:p>
    <w:p>
      <w:pPr>
        <w:spacing w:line="600" w:lineRule="exact"/>
        <w:ind w:firstLine="361" w:firstLineChars="15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第一条  合同构成</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本委托管理合同（以下简称“本合同”）与所附与本合同有关的受益人名册、合法有效的声明、批注、附贴批单，其它经签署的书面协议等凡与本合同相关者，均为本合同的有效构成部分。</w:t>
      </w:r>
    </w:p>
    <w:p>
      <w:pPr>
        <w:spacing w:line="600" w:lineRule="exact"/>
        <w:ind w:left="-31" w:leftChars="-13" w:firstLine="494" w:firstLineChars="205"/>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第二条  合同主体</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本合同涉及到的相关主体包括委托人、受托人和受益人。</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委托人: 广西壮族自治区农村信用社联合社</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受托人：</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受益人：广西壮族自治区农村信用社联合社员工</w:t>
      </w:r>
    </w:p>
    <w:p>
      <w:pPr>
        <w:spacing w:line="600" w:lineRule="exact"/>
        <w:ind w:firstLine="361" w:firstLineChars="15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第三条  合同生效</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本合同自委托人、受托人双方法定代表人（授权代表）签名</w:t>
      </w:r>
      <w:r>
        <w:rPr>
          <w:rFonts w:asciiTheme="minorEastAsia" w:hAnsiTheme="minorEastAsia" w:cstheme="minorEastAsia"/>
          <w:bCs/>
          <w:color w:val="auto"/>
          <w:highlight w:val="none"/>
        </w:rPr>
        <w:t>/</w:t>
      </w:r>
      <w:r>
        <w:rPr>
          <w:rFonts w:hint="eastAsia" w:asciiTheme="minorEastAsia" w:hAnsiTheme="minorEastAsia" w:cstheme="minorEastAsia"/>
          <w:bCs/>
          <w:color w:val="auto"/>
          <w:highlight w:val="none"/>
        </w:rPr>
        <w:t>签章并加盖委托人、受托人双方公章之日起生效。</w:t>
      </w:r>
    </w:p>
    <w:p>
      <w:pPr>
        <w:spacing w:line="600" w:lineRule="exact"/>
        <w:ind w:firstLine="361" w:firstLineChars="15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第四条  合同内容变更</w:t>
      </w:r>
    </w:p>
    <w:p>
      <w:pPr>
        <w:spacing w:line="600" w:lineRule="exact"/>
        <w:ind w:firstLine="480"/>
        <w:rPr>
          <w:rFonts w:hint="eastAsia" w:asciiTheme="minorEastAsia" w:hAnsiTheme="minorEastAsia" w:cstheme="minorEastAsia"/>
          <w:bCs/>
          <w:color w:val="auto"/>
          <w:highlight w:val="none"/>
        </w:rPr>
      </w:pPr>
      <w:r>
        <w:rPr>
          <w:rFonts w:hint="eastAsia" w:asciiTheme="minorEastAsia" w:hAnsiTheme="minorEastAsia" w:cstheme="minorEastAsia"/>
          <w:bCs/>
          <w:color w:val="auto"/>
          <w:highlight w:val="none"/>
        </w:rPr>
        <w:t>在本合同有效期内，经委托人和受托人协商一致，可以变更本合同的有关内容。变更本合同的，应当由受托人经委托人书面同意的在原合同上批注或者附贴批单，或者由委托人和受托人订立书面的变更协议。</w:t>
      </w:r>
    </w:p>
    <w:p>
      <w:pPr>
        <w:spacing w:line="600" w:lineRule="exact"/>
        <w:ind w:firstLine="480"/>
        <w:rPr>
          <w:rFonts w:hint="eastAsia" w:asciiTheme="minorEastAsia" w:hAnsiTheme="minorEastAsia" w:cstheme="minorEastAsia"/>
          <w:bCs/>
          <w:color w:val="auto"/>
          <w:highlight w:val="none"/>
        </w:rPr>
      </w:pPr>
    </w:p>
    <w:p>
      <w:pPr>
        <w:spacing w:line="240" w:lineRule="auto"/>
        <w:ind w:firstLine="0" w:firstLineChars="0"/>
        <w:rPr>
          <w:rFonts w:asciiTheme="minorEastAsia" w:hAnsiTheme="minorEastAsia" w:cstheme="minorEastAsia"/>
          <w:b/>
          <w:bCs/>
          <w:color w:val="auto"/>
          <w:highlight w:val="none"/>
        </w:rPr>
      </w:pPr>
      <w:r>
        <w:rPr>
          <w:rFonts w:hint="eastAsia" w:asciiTheme="minorEastAsia" w:hAnsiTheme="minorEastAsia" w:cstheme="minorEastAsia"/>
          <w:bCs/>
          <w:color w:val="auto"/>
          <w:highlight w:val="none"/>
          <w:lang w:val="en-US" w:eastAsia="zh-CN"/>
        </w:rPr>
        <w:t xml:space="preserve">    </w:t>
      </w:r>
      <w:r>
        <w:rPr>
          <w:rFonts w:hint="eastAsia" w:asciiTheme="minorEastAsia" w:hAnsiTheme="minorEastAsia" w:cstheme="minorEastAsia"/>
          <w:b/>
          <w:bCs/>
          <w:color w:val="auto"/>
          <w:highlight w:val="none"/>
        </w:rPr>
        <w:t xml:space="preserve"> 第五条  合同解除</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本合同生效后，委托人可以随时要求解除本合同。委托人要求解除本合同时，应提供本合同、填写合同解除申请书并加盖公章。</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自受托人收到合同解除申请书及上述资料之日起，本合同终止，受托人不再提供委托管理服务。</w:t>
      </w:r>
    </w:p>
    <w:p>
      <w:pPr>
        <w:spacing w:line="600" w:lineRule="exact"/>
        <w:ind w:firstLine="361" w:firstLineChars="15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第六条  合同终止</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以下任何一种情况发生时，本合同终止：</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（一）在本合同有效期内解除本合同的；</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（二）本合同委托管理期限届满且不再续签本合同的；</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（三）因本合同所列其他情况而终止的。</w:t>
      </w:r>
    </w:p>
    <w:p>
      <w:pPr>
        <w:spacing w:line="600" w:lineRule="exact"/>
        <w:ind w:firstLine="361" w:firstLineChars="15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第七条  合同的续签</w:t>
      </w:r>
    </w:p>
    <w:p>
      <w:pPr>
        <w:spacing w:line="600" w:lineRule="exact"/>
        <w:ind w:left="0" w:firstLine="0" w:firstLineChars="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在本合同届满前，</w:t>
      </w:r>
      <w:r>
        <w:rPr>
          <w:rFonts w:hint="eastAsia" w:asciiTheme="minorEastAsia" w:hAnsiTheme="minorEastAsia" w:cstheme="minorEastAsia"/>
          <w:bCs/>
          <w:color w:val="auto"/>
          <w:highlight w:val="none"/>
          <w:lang w:val="en-US" w:eastAsia="zh-CN"/>
        </w:rPr>
        <w:t>委托人对受托人服务等情况进行评价考核，符合委托人要求的，如委托人不提出合同终止，本合同自动续签1年。</w:t>
      </w:r>
      <w:r>
        <w:rPr>
          <w:rFonts w:hint="eastAsia" w:asciiTheme="minorEastAsia" w:hAnsiTheme="minorEastAsia" w:cstheme="minorEastAsia"/>
          <w:bCs/>
          <w:color w:val="auto"/>
          <w:highlight w:val="none"/>
        </w:rPr>
        <w:t>如确认续签，双方应在合同届满前一个月内办理续签手续。</w:t>
      </w:r>
      <w:r>
        <w:rPr>
          <w:rFonts w:hint="eastAsia" w:asciiTheme="minorEastAsia" w:hAnsiTheme="minorEastAsia" w:cstheme="minorEastAsia"/>
          <w:bCs/>
          <w:color w:val="auto"/>
          <w:highlight w:val="none"/>
          <w:lang w:val="en-US" w:eastAsia="zh-CN"/>
        </w:rPr>
        <w:t>如确认不续签，委托人应</w:t>
      </w:r>
      <w:r>
        <w:rPr>
          <w:rFonts w:hint="eastAsia" w:asciiTheme="minorEastAsia" w:hAnsiTheme="minorEastAsia" w:cstheme="minorEastAsia"/>
          <w:bCs/>
          <w:color w:val="auto"/>
          <w:highlight w:val="none"/>
        </w:rPr>
        <w:t>在合同届满</w:t>
      </w:r>
      <w:r>
        <w:rPr>
          <w:rFonts w:hint="eastAsia" w:asciiTheme="minorEastAsia" w:hAnsiTheme="minorEastAsia" w:cstheme="minorEastAsia"/>
          <w:bCs/>
          <w:color w:val="auto"/>
          <w:highlight w:val="none"/>
          <w:lang w:val="en-US" w:eastAsia="zh-CN"/>
        </w:rPr>
        <w:t>前提前一个月时间通知受托人。</w:t>
      </w: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第二章  团体健康保障计划的设立</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第八条  保障计划设立流程</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（一）本合同签订后，受托人项目服务经理上门收集委托材料，委托人以转账方式将健康保障基金、委托管理费转入受托人指定账户，受托人进行承保工作，并根据委托管理合同的约定开始承担相应的委托责任。</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（二）委托人应以转账方式将健康保障基金转至受托人下列账户：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名称：</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账号：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开户银行：</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此部分金额受托人出具“健康保障委托管理产品缴费专用收据”。</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（三）委托人应以转账方式将委托管理费用付款至受托人下列账户：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名称：                                                                       </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账号：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开户行：</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此部分金额受托人出具增值税发票，受托人应在委托人付款后10个工作日内向委托人提供合法有效增值税发票。</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委托人向上述账户付款即视为已完成付款义务。受托人应对该账户真实性、合法性、有效性负责。本合同履行期间，受托人变更上述收款账户信息的，应在委托人付款前以书面形式通知委托人并经委托人书面认可。</w:t>
      </w:r>
    </w:p>
    <w:p>
      <w:pPr>
        <w:spacing w:line="600" w:lineRule="exact"/>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第三章   健康保障基金管理</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第九条  健康保障基金的性质</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健康保障基金是由委托人建立、委托受托人管理并向受益人提供健康保障项目支付的专项基金。</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第十条  健康保障基金金额</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委托人将于 2022年 xx 月 xx日前将首期健康保障基金：   xxx元，（大写）  xxx 元整，划归至受托人管理。</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第十一条  专管账户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（一）委托人在委托管理期限内可以定期或不定期、定额或不定额地增加健康保障基金，受托人将健康保障基金划转入设立的专管账户。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受托人为委托人设立公共账户，为每一受益人设立个人账户，以记录健康保障基金的支付、增值、划拨等信息。公共账户和个人账户统称“委托管理账户”。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“委托管理账户”是指受托人为履行本合同项下的义务，依照国家政策和相关法律法规进行资金运用而设立的一个或多个专用账户。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（二）健康保障基金转入受托人指定账户后，受托人依照委托人的指令分别计入公共账户或个人账户。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（三）对于设立公共账户和个人账户且不同账户的基金支付项目或支付标准不同时，委托人应书面告知受托人各账户的支付项目和支付标准。</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第十二条  账户余额</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在本合同有效期内，个人账户及公共账户的账户余额均按如下方法计算：</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（一）委托人在合同生效时支付首期健康保障基金后，账户余额等于首期健康保障基金的金额；委托人在合同生效后追加健康保障基金的，账户余额按追加健康保障基金的金额等额增加；</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（二）受托人计算投资收益后，账户余额按计算的投资收益情况等额增加或减少；</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（三）受托人支付受益人健康保障基金后，账户余额按支付的健康保障基金的金额等额减少；</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（四）受托人支付委托人申请退出的部分健康保障基金后，账户余额按退出的健康保障基金金额等额减少。</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
          <w:bCs/>
          <w:color w:val="auto"/>
          <w:highlight w:val="none"/>
        </w:rPr>
        <w:t xml:space="preserve">    第十三条  健康保障基金不足处理</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健康保障基金支付额度以各账户的账户价值为限。各账户价值不足时，受托人将及时通知委托人，并停止办理该账户的健康保障基金支付或健康保障基金转移等服务。委托人弥补委托基金后，受托人将恢复健康保障基金支付或转移服务。健康保障基金不足时，受托人不垫付基金。</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第十四条  健康保障基金结余处理</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因委托管理期限届满或提前解除合同或无论其他任何原因导致本合同终止履行的，受托人在委托人提出基金转移申请后10个工作日内，以银行转账方式向委托人退还公共账户和个人账户余额，并附上余额明细表，同时注销公共账户和个人账户。如受托人未依约退还的，每迟延一日，应按应退未退基金余额的1‰向委托方支付逾期违约金。</w:t>
      </w:r>
    </w:p>
    <w:p>
      <w:pPr>
        <w:spacing w:line="600" w:lineRule="exact"/>
        <w:ind w:left="-31" w:leftChars="-13" w:firstLine="494" w:firstLineChars="205"/>
        <w:jc w:val="center"/>
        <w:rPr>
          <w:rFonts w:asciiTheme="minorEastAsia" w:hAnsiTheme="minorEastAsia" w:cstheme="minorEastAsia"/>
          <w:b/>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第四章   健康保障基金投资运作</w:t>
      </w:r>
    </w:p>
    <w:p>
      <w:pPr>
        <w:spacing w:line="600" w:lineRule="exact"/>
        <w:ind w:firstLine="472" w:firstLineChars="196"/>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第十五条  健康保障基金增值及委托管理账户</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受托人可根据委托人的委托，</w:t>
      </w:r>
      <w:r>
        <w:rPr>
          <w:rFonts w:hint="eastAsia" w:asciiTheme="minorEastAsia" w:hAnsiTheme="minorEastAsia" w:cstheme="minorEastAsia"/>
          <w:bCs/>
          <w:color w:val="auto"/>
          <w:highlight w:val="none"/>
          <w:lang w:val="en-US" w:eastAsia="zh-CN"/>
        </w:rPr>
        <w:t>在合法合规前提下</w:t>
      </w:r>
      <w:r>
        <w:rPr>
          <w:rFonts w:hint="eastAsia" w:asciiTheme="minorEastAsia" w:hAnsiTheme="minorEastAsia" w:cstheme="minorEastAsia"/>
          <w:bCs/>
          <w:color w:val="auto"/>
          <w:highlight w:val="none"/>
        </w:rPr>
        <w:t>对健康保障基金进行投资管理。</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健康保障基金的投资范围为具有良好流动性的金融工具，必须符合法律法规允许的投资范围，主要包括银行存款、国内依法公开发行的固定收益类资产、货币基金等。固定收益类资产限于国债、央行票据、政策性金融债、地方政府债券、政府支持机构债、主体AAA评级银行发行的普通金融债及同业存单、AAA评级国企债券等。</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健康保障基金的投资组合及运作方式由受托人决定，但前述投资方案实施前应取得委托人的书面同意。</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第十六条  健康保障基金增值投资收益</w:t>
      </w:r>
    </w:p>
    <w:p>
      <w:pPr>
        <w:spacing w:line="600" w:lineRule="exact"/>
        <w:ind w:firstLine="560"/>
        <w:rPr>
          <w:rFonts w:asciiTheme="minorEastAsia" w:hAnsiTheme="minorEastAsia" w:cstheme="minorEastAsia"/>
          <w:color w:val="auto"/>
          <w:highlight w:val="none"/>
        </w:rPr>
      </w:pPr>
      <w:r>
        <w:rPr>
          <w:rFonts w:hint="eastAsia" w:asciiTheme="minorEastAsia" w:hAnsiTheme="minorEastAsia" w:cstheme="minorEastAsia"/>
          <w:color w:val="auto"/>
          <w:highlight w:val="none"/>
        </w:rPr>
        <w:t>委托管理账户无最低保证利率，投资收益及风险全部归属于委托人，受托人不承担委托管理账户的亏损和盈余。</w:t>
      </w:r>
    </w:p>
    <w:p>
      <w:pPr>
        <w:spacing w:line="600" w:lineRule="exact"/>
        <w:ind w:firstLine="560"/>
        <w:rPr>
          <w:rFonts w:asciiTheme="minorEastAsia" w:hAnsiTheme="minorEastAsia" w:cstheme="minorEastAsia"/>
          <w:color w:val="auto"/>
          <w:highlight w:val="none"/>
        </w:rPr>
      </w:pPr>
      <w:r>
        <w:rPr>
          <w:rFonts w:hint="eastAsia" w:asciiTheme="minorEastAsia" w:hAnsiTheme="minorEastAsia" w:cstheme="minorEastAsia"/>
          <w:color w:val="auto"/>
          <w:highlight w:val="none"/>
        </w:rPr>
        <w:t>资产管理费按投资基金总额的</w:t>
      </w:r>
      <w:r>
        <w:rPr>
          <w:rFonts w:hint="eastAsia" w:asciiTheme="minorEastAsia" w:hAnsiTheme="minorEastAsia" w:cstheme="minorEastAsia"/>
          <w:color w:val="auto"/>
          <w:highlight w:val="none"/>
          <w:u w:val="single"/>
        </w:rPr>
        <w:t>xx%</w:t>
      </w:r>
      <w:r>
        <w:rPr>
          <w:rFonts w:hint="eastAsia" w:asciiTheme="minorEastAsia" w:hAnsiTheme="minorEastAsia" w:cstheme="minorEastAsia"/>
          <w:color w:val="auto"/>
          <w:highlight w:val="none"/>
        </w:rPr>
        <w:t>年化利率按日计提，投资收益情况通过受托人的年度《投资组合管理报告》公布，报告期内投资收益是扣除资产管理费后的净收益。</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投资收益按日计算，按年度累计分配至帐户中，个人账户的投资收益归属于个人账户，公共账户的投资收益归属于公共账户。</w:t>
      </w:r>
    </w:p>
    <w:p>
      <w:pPr>
        <w:spacing w:line="600" w:lineRule="exact"/>
        <w:ind w:firstLine="480" w:firstLineChars="200"/>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第五章   委托管理费</w:t>
      </w:r>
    </w:p>
    <w:p>
      <w:pPr>
        <w:spacing w:line="600" w:lineRule="exact"/>
        <w:ind w:firstLine="562"/>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第十七条  委托管理费收取</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委托管理费按委托人划转的健康保障基金的</w:t>
      </w:r>
      <w:r>
        <w:rPr>
          <w:rFonts w:hint="eastAsia" w:asciiTheme="minorEastAsia" w:hAnsiTheme="minorEastAsia" w:cstheme="minorEastAsia"/>
          <w:color w:val="auto"/>
          <w:highlight w:val="none"/>
          <w:u w:val="single"/>
        </w:rPr>
        <w:t>xx %</w:t>
      </w:r>
      <w:r>
        <w:rPr>
          <w:rFonts w:hint="eastAsia" w:asciiTheme="minorEastAsia" w:hAnsiTheme="minorEastAsia" w:cstheme="minorEastAsia"/>
          <w:color w:val="auto"/>
          <w:highlight w:val="none"/>
        </w:rPr>
        <w:t>一次性收取，由委托人根据受托人出具的委托管理费收取通知书另行支付。</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委托管理期限届满续签本合同的，对于滚存入下一委托管理期限的健康保障基金，受托人不再收取委托管理费用。</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公共账户和个人账户之间资金的转移及退出计划，受托人不再收取任何费用。</w:t>
      </w:r>
    </w:p>
    <w:p>
      <w:pPr>
        <w:tabs>
          <w:tab w:val="left" w:pos="0"/>
        </w:tabs>
        <w:spacing w:line="600" w:lineRule="exact"/>
        <w:ind w:left="-31" w:leftChars="-13" w:firstLine="494" w:firstLineChars="205"/>
        <w:rPr>
          <w:rFonts w:asciiTheme="minorEastAsia" w:hAnsiTheme="minorEastAsia" w:cstheme="minorEastAsia"/>
          <w:bCs/>
          <w:color w:val="auto"/>
          <w:highlight w:val="none"/>
        </w:rPr>
      </w:pPr>
      <w:r>
        <w:rPr>
          <w:rFonts w:hint="eastAsia" w:asciiTheme="minorEastAsia" w:hAnsiTheme="minorEastAsia" w:cstheme="minorEastAsia"/>
          <w:b/>
          <w:bCs/>
          <w:color w:val="auto"/>
          <w:highlight w:val="none"/>
        </w:rPr>
        <w:t>第十八条  委托管理费用变动</w:t>
      </w:r>
    </w:p>
    <w:p>
      <w:pPr>
        <w:spacing w:line="600" w:lineRule="exact"/>
        <w:ind w:firstLine="360" w:firstLineChars="15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在本合同有效期内，根据委托服务内容的变动或实际成本的变化，经双方协商一致，可以调整委托管理费用的收取比例或金额。</w:t>
      </w:r>
    </w:p>
    <w:p>
      <w:pPr>
        <w:spacing w:line="600" w:lineRule="exact"/>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第六章   委托管理期限</w:t>
      </w:r>
    </w:p>
    <w:p>
      <w:pPr>
        <w:spacing w:line="600" w:lineRule="exact"/>
        <w:ind w:firstLine="472" w:firstLineChars="196"/>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第十九条  委托管理期限</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经委托人、受托人双方协商，本合同委托管理期限为合同生效之日起</w:t>
      </w:r>
      <w:r>
        <w:rPr>
          <w:rFonts w:hint="eastAsia" w:asciiTheme="minorEastAsia" w:hAnsiTheme="minorEastAsia" w:cstheme="minorEastAsia"/>
          <w:bCs/>
          <w:color w:val="auto"/>
          <w:highlight w:val="none"/>
          <w:u w:val="single"/>
        </w:rPr>
        <w:t>叁</w:t>
      </w:r>
      <w:r>
        <w:rPr>
          <w:rFonts w:hint="eastAsia" w:asciiTheme="minorEastAsia" w:hAnsiTheme="minorEastAsia" w:cstheme="minorEastAsia"/>
          <w:bCs/>
          <w:color w:val="auto"/>
          <w:highlight w:val="none"/>
        </w:rPr>
        <w:t>年，自</w:t>
      </w:r>
      <w:r>
        <w:rPr>
          <w:rFonts w:hint="eastAsia" w:asciiTheme="minorEastAsia" w:hAnsiTheme="minorEastAsia" w:cstheme="minorEastAsia"/>
          <w:bCs/>
          <w:color w:val="auto"/>
          <w:highlight w:val="none"/>
          <w:u w:val="single"/>
        </w:rPr>
        <w:t>2022</w:t>
      </w:r>
      <w:r>
        <w:rPr>
          <w:rFonts w:hint="eastAsia" w:asciiTheme="minorEastAsia" w:hAnsiTheme="minorEastAsia" w:cstheme="minorEastAsia"/>
          <w:bCs/>
          <w:color w:val="auto"/>
          <w:highlight w:val="none"/>
        </w:rPr>
        <w:t>年</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月</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日的零时开始至</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年</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月</w:t>
      </w:r>
      <w:r>
        <w:rPr>
          <w:rFonts w:hint="eastAsia" w:asciiTheme="minorEastAsia" w:hAnsiTheme="minorEastAsia" w:cstheme="minorEastAsia"/>
          <w:bCs/>
          <w:color w:val="auto"/>
          <w:highlight w:val="none"/>
          <w:u w:val="single"/>
        </w:rPr>
        <w:t xml:space="preserve">   </w:t>
      </w:r>
      <w:r>
        <w:rPr>
          <w:rFonts w:hint="eastAsia" w:asciiTheme="minorEastAsia" w:hAnsiTheme="minorEastAsia" w:cstheme="minorEastAsia"/>
          <w:bCs/>
          <w:color w:val="auto"/>
          <w:highlight w:val="none"/>
        </w:rPr>
        <w:t>日的二十四时止。</w:t>
      </w:r>
    </w:p>
    <w:p>
      <w:pPr>
        <w:spacing w:line="600" w:lineRule="exact"/>
        <w:ind w:left="420" w:firstLine="468" w:firstLineChars="195"/>
        <w:rPr>
          <w:rFonts w:asciiTheme="minorEastAsia" w:hAnsiTheme="minorEastAsia" w:cstheme="minorEastAsia"/>
          <w:bCs/>
          <w:color w:val="auto"/>
          <w:highlight w:val="none"/>
        </w:rPr>
      </w:pPr>
    </w:p>
    <w:p>
      <w:pPr>
        <w:spacing w:line="600" w:lineRule="exact"/>
        <w:ind w:left="-31" w:leftChars="-13" w:firstLine="491" w:firstLineChars="205"/>
        <w:jc w:val="center"/>
        <w:rPr>
          <w:rFonts w:asciiTheme="minorEastAsia" w:hAnsiTheme="minorEastAsia" w:cstheme="minorEastAsia"/>
          <w:b/>
          <w:bCs/>
          <w:color w:val="auto"/>
          <w:highlight w:val="none"/>
        </w:rPr>
      </w:pPr>
      <w:r>
        <w:rPr>
          <w:rFonts w:hint="eastAsia" w:asciiTheme="minorEastAsia" w:hAnsiTheme="minorEastAsia" w:cstheme="minorEastAsia"/>
          <w:bCs/>
          <w:color w:val="auto"/>
          <w:highlight w:val="none"/>
        </w:rPr>
        <w:t xml:space="preserve"> </w:t>
      </w:r>
      <w:r>
        <w:rPr>
          <w:rFonts w:hint="eastAsia" w:asciiTheme="minorEastAsia" w:hAnsiTheme="minorEastAsia" w:cstheme="minorEastAsia"/>
          <w:b/>
          <w:bCs/>
          <w:color w:val="auto"/>
          <w:highlight w:val="none"/>
        </w:rPr>
        <w:t xml:space="preserve"> 第七章   委托管理内容及健康保障基金支付管理</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第二十条  委托管理内容    </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委托人委托受托人对健康保障基金进行管理:</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在本合同有效期内，受托人按合同约定从个人账户或公共账户的账户余额中向受益人支付健康保障基金，或应委托人申请为其提供医疗保障方案设计、咨询建议、健康保障基金管理、医疗服务调查、医疗费用审核、医疗费用报销支付等经办管理服务。</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受托人对所有受益人的健康保障基金累计支付金额以计划的个人账户和公共账户的账户余额之和为限。</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第二十一条  健康保障基金支付项目</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委托人的健康保障基金支付项目为受益人个人自付的医疗费用，包括住院医疗、门（急）诊、药店购药等，但以下情形不予支付：</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（一）用于美容、矫形等治疗的；</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（二）因犯罪或其他违法违规行为造成伤病的；</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（三）属于工伤保险（含职业病）或生育保险支付范围的；</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（四）在国（境）外发生的医疗费用；</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（五）委托人规定的其他不予支付费用的情形。</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第二十二条  健康保障基金支付标准</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（一）个人账户的支付。员工个人自付的医疗费用，包括住院医疗、门（急）诊、药店购药等，在个人账户剩余额度内100%给付。</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（二）公共账户的支付。公共账户的支付，由受托人根据委托人出具的支付通知书进行支付。</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第二十三条  健康保障基金支付管理服务</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受托人在收到健康保障基金给付申请书及有关证明和资料后，根据双方约定的健康保障基金支付项目和支付标准，对受益人提出的健康保障基金支付申请进行审核、核算，无需调查的案件，线上自助理赔的1个工作日完成审核支付；线下票据报销的3个工作日内完成审核支付。</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需要调查的案件，10个工作日内完成审核并支付赔款。</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第二十四条  增值服务内容</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受托人为委托人在提供健康保障委托管理的基础上，在取得委托人书面同意后提供健康卡直付、XXX、XXX等增值服务。</w:t>
      </w:r>
    </w:p>
    <w:p>
      <w:pPr>
        <w:spacing w:line="600" w:lineRule="exact"/>
        <w:rPr>
          <w:rFonts w:asciiTheme="minorEastAsia" w:hAnsiTheme="minorEastAsia" w:cstheme="minorEastAsia"/>
          <w:b/>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第八章  健康保障基金材料的存档</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第二十五条  材料的存档</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受托人业务档案管理包括电子档案及纸质档案。电子影像档案直接保存于业务系统。纸质档案的管理包括整理移交、接收核查、系统归档、入库保管、档案质检、档案借阅利用、库房管理、鉴定销毁等环节。</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第二十六条   材料的保存期限</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保险期间在一年期及一年期以下的业务档案保管期限不少于六年,保险期间超过一年的不少于十年。保管期限从保险合同终止之日起开始计算。</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
          <w:bCs/>
          <w:color w:val="auto"/>
          <w:highlight w:val="none"/>
        </w:rPr>
        <w:t xml:space="preserve">    第二十七条  材料的调档流程</w:t>
      </w:r>
      <w:r>
        <w:rPr>
          <w:rFonts w:hint="eastAsia" w:asciiTheme="minorEastAsia" w:hAnsiTheme="minorEastAsia" w:cstheme="minorEastAsia"/>
          <w:b/>
          <w:bCs/>
          <w:color w:val="auto"/>
          <w:highlight w:val="none"/>
        </w:rPr>
        <w:tab/>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受托人提供材料档案调阅服务，由项目服务经理协助完成。</w:t>
      </w:r>
    </w:p>
    <w:p>
      <w:pPr>
        <w:autoSpaceDE w:val="0"/>
        <w:autoSpaceDN w:val="0"/>
        <w:adjustRightInd w:val="0"/>
        <w:spacing w:line="600" w:lineRule="exact"/>
        <w:ind w:firstLine="480" w:firstLineChars="200"/>
        <w:rPr>
          <w:rFonts w:asciiTheme="minorEastAsia" w:hAnsiTheme="minorEastAsia" w:cstheme="minorEastAsia"/>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第九章   受益人变动</w:t>
      </w:r>
    </w:p>
    <w:p>
      <w:pPr>
        <w:autoSpaceDE w:val="0"/>
        <w:autoSpaceDN w:val="0"/>
        <w:adjustRightInd w:val="0"/>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第二十八条  受益人增加处理</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委托人因人员变动需要增加受益人的，应书面通知受托人，经受托人同意后，于批注凭证载明的生效日零时起开始承担合同约定的责任。</w:t>
      </w:r>
    </w:p>
    <w:p>
      <w:pPr>
        <w:autoSpaceDE w:val="0"/>
        <w:autoSpaceDN w:val="0"/>
        <w:adjustRightInd w:val="0"/>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第二十九条  受益人减少处理</w:t>
      </w:r>
    </w:p>
    <w:p>
      <w:pPr>
        <w:spacing w:line="600" w:lineRule="exact"/>
        <w:ind w:firstLine="480" w:firstLineChars="200"/>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委托人因人员变动需要减少受益人的，应书面通知受托人，自受托人收到书面通知及相关资料之日起，受托人对该受益人不再提供委托管理服务。对于受益人身故的情况，受托人将个人账户价值余额退还给该受益人的法定继承人；对于其他原因导致受益人减少的情况，受托人根据委托人通知，将个人账户余额以银行转账方式退到指定账户或转入公共账户，同时注销该受益人的个人账户。</w:t>
      </w:r>
    </w:p>
    <w:p>
      <w:pPr>
        <w:spacing w:line="600" w:lineRule="exact"/>
        <w:ind w:left="420" w:firstLine="468" w:firstLineChars="195"/>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第十章  委托人的权利和义务</w:t>
      </w:r>
    </w:p>
    <w:p>
      <w:pPr>
        <w:spacing w:line="600" w:lineRule="exact"/>
        <w:ind w:firstLine="482" w:firstLineChars="200"/>
        <w:rPr>
          <w:rFonts w:asciiTheme="minorEastAsia" w:hAnsiTheme="minorEastAsia" w:cstheme="minorEastAsia"/>
          <w:bCs/>
          <w:color w:val="auto"/>
          <w:highlight w:val="none"/>
        </w:rPr>
      </w:pPr>
      <w:r>
        <w:rPr>
          <w:rFonts w:hint="eastAsia" w:asciiTheme="minorEastAsia" w:hAnsiTheme="minorEastAsia" w:cstheme="minorEastAsia"/>
          <w:b/>
          <w:bCs/>
          <w:color w:val="auto"/>
          <w:highlight w:val="none"/>
        </w:rPr>
        <w:t>第三十条</w:t>
      </w:r>
      <w:r>
        <w:rPr>
          <w:rFonts w:hint="eastAsia" w:asciiTheme="minorEastAsia" w:hAnsiTheme="minorEastAsia" w:cstheme="minorEastAsia"/>
          <w:bCs/>
          <w:color w:val="auto"/>
          <w:highlight w:val="none"/>
        </w:rPr>
        <w:t xml:space="preserve">  委托人保证：作为依法成立的法人机构，有签署本合同的主体资格和履行能力；委托人签署和履行本合同，不违反其批准设立机关的批准文件、单位章程和适用于委托人的任何判决、裁定、授权、协议；委托基金来源合法。因委托基金来源、资质等不合法因素导致的一切后果由委托人承担。</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第三十一条  </w:t>
      </w:r>
      <w:r>
        <w:rPr>
          <w:rFonts w:hint="eastAsia" w:asciiTheme="minorEastAsia" w:hAnsiTheme="minorEastAsia" w:cstheme="minorEastAsia"/>
          <w:color w:val="auto"/>
          <w:highlight w:val="none"/>
        </w:rPr>
        <w:t>委托人有权监督受托人的委托管理服务工作并提出意见和合理要求；委托人有权按健康保障基金的实际运营情况，要求调整支付项目和支付标准；委托人有权查询健康保障基金的运营状况并要求受托人对委托基金的管理情况做出说明。</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 xml:space="preserve">第三十二条  </w:t>
      </w:r>
      <w:r>
        <w:rPr>
          <w:rFonts w:hint="eastAsia" w:asciiTheme="minorEastAsia" w:hAnsiTheme="minorEastAsia" w:cstheme="minorEastAsia"/>
          <w:color w:val="auto"/>
          <w:highlight w:val="none"/>
        </w:rPr>
        <w:t>委托人应按本合同约定，及时筹集和建立委托基金，并按时支付受托人委托管理费用。</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 xml:space="preserve">第三十三条  </w:t>
      </w:r>
      <w:r>
        <w:rPr>
          <w:rFonts w:hint="eastAsia" w:asciiTheme="minorEastAsia" w:hAnsiTheme="minorEastAsia" w:cstheme="minorEastAsia"/>
          <w:color w:val="auto"/>
          <w:highlight w:val="none"/>
        </w:rPr>
        <w:t>委托人应及时受益人信息等受托人履行委托管理服务职责必需的资料提供给受托人，配合受托人做好健康保障基金支付及风险管理等各项工作。</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委托人应确保所提供的受益人信息等资料均为真实、完整、合法，没有任何重大遗漏或误导，否则由此带来的责任由委托人承担。</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第三十四条  </w:t>
      </w:r>
      <w:r>
        <w:rPr>
          <w:rFonts w:hint="eastAsia" w:asciiTheme="minorEastAsia" w:hAnsiTheme="minorEastAsia" w:cstheme="minorEastAsia"/>
          <w:color w:val="auto"/>
          <w:highlight w:val="none"/>
        </w:rPr>
        <w:t>委托人地址变更时，应及时以书面形式通知受托人，委托人未以书面形式通知的，受托人将按本合同注明的最后地址发送有关通知。</w:t>
      </w:r>
    </w:p>
    <w:p>
      <w:pPr>
        <w:spacing w:line="600" w:lineRule="exact"/>
        <w:ind w:left="420" w:firstLine="468" w:firstLineChars="195"/>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第十一章  受托人的权利和义务</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第三十五条 </w:t>
      </w:r>
      <w:r>
        <w:rPr>
          <w:rFonts w:hint="eastAsia" w:asciiTheme="minorEastAsia" w:hAnsiTheme="minorEastAsia" w:cstheme="minorEastAsia"/>
          <w:color w:val="auto"/>
          <w:highlight w:val="none"/>
        </w:rPr>
        <w:t xml:space="preserve"> 受托人保证：作为依法成立的法人机构，有签署本合同的主体资格和履行能力；受托人签署和履行本合同，不违反其批准设立机关的批准文件、单位章程和适用于受托人的任何判决、裁定、授权、协议；保障委托基金安全。</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第三十六条  </w:t>
      </w:r>
      <w:r>
        <w:rPr>
          <w:rFonts w:hint="eastAsia" w:asciiTheme="minorEastAsia" w:hAnsiTheme="minorEastAsia" w:cstheme="minorEastAsia"/>
          <w:color w:val="auto"/>
          <w:highlight w:val="none"/>
        </w:rPr>
        <w:t>受托人有权及时、足额收取委托管理费用，并要求委托人履行本合同项下的相关义务；如委托人未按时、按约定支付受托人委托管理费用，经受托人书面催告后 60 个工作日委托人仍未支付的，受托人有权解除本合同。</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第三十七条  </w:t>
      </w:r>
      <w:r>
        <w:rPr>
          <w:rFonts w:hint="eastAsia" w:asciiTheme="minorEastAsia" w:hAnsiTheme="minorEastAsia" w:cstheme="minorEastAsia"/>
          <w:color w:val="auto"/>
          <w:highlight w:val="none"/>
        </w:rPr>
        <w:t>受托人有权及时获得履行委托管理服务职责必需的资料及其他信息。</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 xml:space="preserve">第三十八条  </w:t>
      </w:r>
      <w:r>
        <w:rPr>
          <w:rFonts w:hint="eastAsia" w:asciiTheme="minorEastAsia" w:hAnsiTheme="minorEastAsia" w:cstheme="minorEastAsia"/>
          <w:color w:val="auto"/>
          <w:highlight w:val="none"/>
        </w:rPr>
        <w:t>受托人应以诚实信用、勤勉尽责的原则开展委托管理服务工作，发挥精算管理、风险管理和理赔管理等优势，提高管理服务的质量和效率，完善业务管理流程，不断提高客户满意度。</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（一）受托人制作服务手册，包括赔付流程、材料要求、赔付时效、专属服务团队人员及联系方式等，在合同签订后一周内对受益人进行相关支付环节的培训。</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（二）上门服务：本合同签订后，受托人每月固定上门服务 2 次（一般在每月 15  、 30 号左右，如当月报销人次较多的，受托人可提供多次上门服务），上门地点为委托人在南宁、柳州、桂林、梧州、玉林、百色、河池、北海等八个城市的办公场所，主要收取相关支付的材料等，并开具接收支付材料的相关凭证。</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（三）受托人为委托人提供查询、咨询、投诉、审核登记等服务，收到给付材料后，受托人在 3 个工作日内完成审核及给付工作，并短信通知到其本人。</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（四）受托人按月为委托人提供账户对帐单明细一式二份，记录受益人当月支付金额、次数、累计赔付金额、以及个人账户余额等情况。</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（五）受托人按季为委托人提供健康保障基金投资管理报告。</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 xml:space="preserve">第三十九条 </w:t>
      </w:r>
      <w:r>
        <w:rPr>
          <w:rFonts w:hint="eastAsia" w:asciiTheme="minorEastAsia" w:hAnsiTheme="minorEastAsia" w:cstheme="minorEastAsia"/>
          <w:color w:val="auto"/>
          <w:highlight w:val="none"/>
        </w:rPr>
        <w:t>受托人应为委托人提供健康保障方案设计、健康保障咨询建议、委托基金管理、医疗服务调查、医疗费用审核、医疗费用报销支付、管理报告等服务。</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 xml:space="preserve">第四十条  </w:t>
      </w:r>
      <w:r>
        <w:rPr>
          <w:rFonts w:hint="eastAsia" w:asciiTheme="minorEastAsia" w:hAnsiTheme="minorEastAsia" w:cstheme="minorEastAsia"/>
          <w:color w:val="auto"/>
          <w:highlight w:val="none"/>
        </w:rPr>
        <w:t>受托人严格按照委托人的要求审核受益人提供的材料，符合支付条件的才予以支付。</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第四十一条  </w:t>
      </w:r>
      <w:r>
        <w:rPr>
          <w:rFonts w:hint="eastAsia" w:asciiTheme="minorEastAsia" w:hAnsiTheme="minorEastAsia" w:cstheme="minorEastAsia"/>
          <w:color w:val="auto"/>
          <w:highlight w:val="none"/>
        </w:rPr>
        <w:t>对于委托人将健康保障基金划归受托人管理的，受托人应设立专管账户，并按委托人要求定期进行健康保障基金账务核对；根据委托人委托，如对健康保障基金进行投资管理，应确保委托基金安全。</w:t>
      </w:r>
    </w:p>
    <w:p>
      <w:pPr>
        <w:spacing w:line="600" w:lineRule="exact"/>
        <w:ind w:firstLine="482" w:firstLineChars="200"/>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第四十二条  </w:t>
      </w:r>
      <w:r>
        <w:rPr>
          <w:rFonts w:hint="eastAsia" w:asciiTheme="minorEastAsia" w:hAnsiTheme="minorEastAsia" w:cstheme="minorEastAsia"/>
          <w:color w:val="auto"/>
          <w:highlight w:val="none"/>
        </w:rPr>
        <w:t>人员支持</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为保证向委托人提供更为优质完善的服务，由受托人团险、业管、客户服务等部门骨干组成的专项服务工作组，为委托人提供专业化服务工作，人员名单如下：</w:t>
      </w:r>
    </w:p>
    <w:p>
      <w:pPr>
        <w:pStyle w:val="12"/>
        <w:rPr>
          <w:color w:val="auto"/>
          <w:highlight w:val="none"/>
        </w:rPr>
      </w:pPr>
    </w:p>
    <w:tbl>
      <w:tblPr>
        <w:tblStyle w:val="31"/>
        <w:tblW w:w="8188" w:type="dxa"/>
        <w:tblInd w:w="0" w:type="dxa"/>
        <w:tblLayout w:type="fixed"/>
        <w:tblCellMar>
          <w:top w:w="0" w:type="dxa"/>
          <w:left w:w="108" w:type="dxa"/>
          <w:bottom w:w="0" w:type="dxa"/>
          <w:right w:w="108" w:type="dxa"/>
        </w:tblCellMar>
      </w:tblPr>
      <w:tblGrid>
        <w:gridCol w:w="697"/>
        <w:gridCol w:w="1396"/>
        <w:gridCol w:w="1417"/>
        <w:gridCol w:w="2552"/>
        <w:gridCol w:w="2126"/>
      </w:tblGrid>
      <w:tr>
        <w:tblPrEx>
          <w:tblLayout w:type="fixed"/>
          <w:tblCellMar>
            <w:top w:w="0" w:type="dxa"/>
            <w:left w:w="108" w:type="dxa"/>
            <w:bottom w:w="0" w:type="dxa"/>
            <w:right w:w="108" w:type="dxa"/>
          </w:tblCellMar>
        </w:tblPrEx>
        <w:trPr>
          <w:trHeight w:val="402"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序号 </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地市</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姓名</w:t>
            </w:r>
          </w:p>
        </w:tc>
        <w:tc>
          <w:tcPr>
            <w:tcW w:w="2552" w:type="dxa"/>
            <w:tcBorders>
              <w:top w:val="single" w:color="auto" w:sz="4" w:space="0"/>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所在公司及职务</w:t>
            </w:r>
          </w:p>
        </w:tc>
        <w:tc>
          <w:tcPr>
            <w:tcW w:w="2126" w:type="dxa"/>
            <w:tcBorders>
              <w:top w:val="single" w:color="auto" w:sz="4" w:space="0"/>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联系电话</w:t>
            </w:r>
          </w:p>
        </w:tc>
      </w:tr>
      <w:tr>
        <w:tblPrEx>
          <w:tblLayout w:type="fixed"/>
          <w:tblCellMar>
            <w:top w:w="0" w:type="dxa"/>
            <w:left w:w="108" w:type="dxa"/>
            <w:bottom w:w="0" w:type="dxa"/>
            <w:right w:w="108" w:type="dxa"/>
          </w:tblCellMar>
        </w:tblPrEx>
        <w:trPr>
          <w:trHeight w:val="402" w:hRule="atLeast"/>
        </w:trPr>
        <w:tc>
          <w:tcPr>
            <w:tcW w:w="69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1</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南宁</w:t>
            </w:r>
          </w:p>
        </w:tc>
        <w:tc>
          <w:tcPr>
            <w:tcW w:w="141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nil"/>
              <w:left w:val="nil"/>
              <w:bottom w:val="single" w:color="auto" w:sz="4" w:space="0"/>
              <w:right w:val="single" w:color="auto" w:sz="4" w:space="0"/>
            </w:tcBorders>
            <w:vAlign w:val="center"/>
          </w:tcPr>
          <w:p>
            <w:pPr>
              <w:spacing w:line="500" w:lineRule="exact"/>
              <w:jc w:val="center"/>
              <w:rPr>
                <w:rFonts w:asciiTheme="minorEastAsia" w:hAnsiTheme="minorEastAsia" w:cstheme="minorEastAsia"/>
                <w:color w:val="auto"/>
                <w:highlight w:val="none"/>
              </w:rPr>
            </w:pPr>
          </w:p>
        </w:tc>
        <w:tc>
          <w:tcPr>
            <w:tcW w:w="2126" w:type="dxa"/>
            <w:tcBorders>
              <w:top w:val="nil"/>
              <w:left w:val="nil"/>
              <w:bottom w:val="single" w:color="auto" w:sz="4" w:space="0"/>
              <w:right w:val="single" w:color="auto" w:sz="4" w:space="0"/>
            </w:tcBorders>
            <w:vAlign w:val="center"/>
          </w:tcPr>
          <w:p>
            <w:pPr>
              <w:spacing w:line="500" w:lineRule="exact"/>
              <w:jc w:val="center"/>
              <w:rPr>
                <w:rFonts w:asciiTheme="minorEastAsia" w:hAnsiTheme="minorEastAsia" w:cstheme="minorEastAsia"/>
                <w:color w:val="auto"/>
                <w:highlight w:val="none"/>
              </w:rPr>
            </w:pPr>
          </w:p>
        </w:tc>
      </w:tr>
      <w:tr>
        <w:tblPrEx>
          <w:tblLayout w:type="fixed"/>
          <w:tblCellMar>
            <w:top w:w="0" w:type="dxa"/>
            <w:left w:w="108" w:type="dxa"/>
            <w:bottom w:w="0" w:type="dxa"/>
            <w:right w:w="108" w:type="dxa"/>
          </w:tblCellMar>
        </w:tblPrEx>
        <w:trPr>
          <w:trHeight w:val="402" w:hRule="atLeast"/>
        </w:trPr>
        <w:tc>
          <w:tcPr>
            <w:tcW w:w="69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2</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柳州</w:t>
            </w:r>
          </w:p>
        </w:tc>
        <w:tc>
          <w:tcPr>
            <w:tcW w:w="141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126"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r>
      <w:tr>
        <w:tblPrEx>
          <w:tblLayout w:type="fixed"/>
          <w:tblCellMar>
            <w:top w:w="0" w:type="dxa"/>
            <w:left w:w="108" w:type="dxa"/>
            <w:bottom w:w="0" w:type="dxa"/>
            <w:right w:w="108" w:type="dxa"/>
          </w:tblCellMar>
        </w:tblPrEx>
        <w:trPr>
          <w:trHeight w:val="402" w:hRule="atLeast"/>
        </w:trPr>
        <w:tc>
          <w:tcPr>
            <w:tcW w:w="69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3</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桂林</w:t>
            </w:r>
          </w:p>
        </w:tc>
        <w:tc>
          <w:tcPr>
            <w:tcW w:w="141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126"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r>
      <w:tr>
        <w:tblPrEx>
          <w:tblLayout w:type="fixed"/>
          <w:tblCellMar>
            <w:top w:w="0" w:type="dxa"/>
            <w:left w:w="108" w:type="dxa"/>
            <w:bottom w:w="0" w:type="dxa"/>
            <w:right w:w="108" w:type="dxa"/>
          </w:tblCellMar>
        </w:tblPrEx>
        <w:trPr>
          <w:trHeight w:val="402" w:hRule="atLeast"/>
        </w:trPr>
        <w:tc>
          <w:tcPr>
            <w:tcW w:w="69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4</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梧州</w:t>
            </w:r>
          </w:p>
        </w:tc>
        <w:tc>
          <w:tcPr>
            <w:tcW w:w="141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126"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r>
      <w:tr>
        <w:tblPrEx>
          <w:tblLayout w:type="fixed"/>
          <w:tblCellMar>
            <w:top w:w="0" w:type="dxa"/>
            <w:left w:w="108" w:type="dxa"/>
            <w:bottom w:w="0" w:type="dxa"/>
            <w:right w:w="108" w:type="dxa"/>
          </w:tblCellMar>
        </w:tblPrEx>
        <w:trPr>
          <w:trHeight w:val="402" w:hRule="atLeast"/>
        </w:trPr>
        <w:tc>
          <w:tcPr>
            <w:tcW w:w="69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5</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玉林</w:t>
            </w:r>
          </w:p>
        </w:tc>
        <w:tc>
          <w:tcPr>
            <w:tcW w:w="141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126"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r>
      <w:tr>
        <w:tblPrEx>
          <w:tblLayout w:type="fixed"/>
          <w:tblCellMar>
            <w:top w:w="0" w:type="dxa"/>
            <w:left w:w="108" w:type="dxa"/>
            <w:bottom w:w="0" w:type="dxa"/>
            <w:right w:w="108" w:type="dxa"/>
          </w:tblCellMar>
        </w:tblPrEx>
        <w:trPr>
          <w:trHeight w:val="402" w:hRule="atLeast"/>
        </w:trPr>
        <w:tc>
          <w:tcPr>
            <w:tcW w:w="69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6</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百色</w:t>
            </w:r>
          </w:p>
        </w:tc>
        <w:tc>
          <w:tcPr>
            <w:tcW w:w="141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126"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r>
      <w:tr>
        <w:tblPrEx>
          <w:tblLayout w:type="fixed"/>
          <w:tblCellMar>
            <w:top w:w="0" w:type="dxa"/>
            <w:left w:w="108" w:type="dxa"/>
            <w:bottom w:w="0" w:type="dxa"/>
            <w:right w:w="108" w:type="dxa"/>
          </w:tblCellMar>
        </w:tblPrEx>
        <w:trPr>
          <w:trHeight w:val="402" w:hRule="atLeast"/>
        </w:trPr>
        <w:tc>
          <w:tcPr>
            <w:tcW w:w="69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7</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河池</w:t>
            </w:r>
          </w:p>
        </w:tc>
        <w:tc>
          <w:tcPr>
            <w:tcW w:w="1417" w:type="dxa"/>
            <w:tcBorders>
              <w:top w:val="nil"/>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126" w:type="dxa"/>
            <w:tcBorders>
              <w:top w:val="nil"/>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r>
      <w:tr>
        <w:tblPrEx>
          <w:tblLayout w:type="fixed"/>
          <w:tblCellMar>
            <w:top w:w="0" w:type="dxa"/>
            <w:left w:w="108" w:type="dxa"/>
            <w:bottom w:w="0" w:type="dxa"/>
            <w:right w:w="108" w:type="dxa"/>
          </w:tblCellMar>
        </w:tblPrEx>
        <w:trPr>
          <w:trHeight w:val="402"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8</w:t>
            </w:r>
          </w:p>
        </w:tc>
        <w:tc>
          <w:tcPr>
            <w:tcW w:w="1396" w:type="dxa"/>
            <w:tcBorders>
              <w:top w:val="single" w:color="auto" w:sz="4" w:space="0"/>
              <w:left w:val="nil"/>
              <w:bottom w:val="single" w:color="auto" w:sz="4" w:space="0"/>
              <w:right w:val="single" w:color="auto" w:sz="4" w:space="0"/>
            </w:tcBorders>
          </w:tcPr>
          <w:p>
            <w:pPr>
              <w:spacing w:line="600" w:lineRule="exact"/>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北海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552" w:type="dxa"/>
            <w:tcBorders>
              <w:top w:val="single" w:color="auto" w:sz="4" w:space="0"/>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c>
          <w:tcPr>
            <w:tcW w:w="2126" w:type="dxa"/>
            <w:tcBorders>
              <w:top w:val="single" w:color="auto" w:sz="4" w:space="0"/>
              <w:left w:val="nil"/>
              <w:bottom w:val="single" w:color="auto" w:sz="4" w:space="0"/>
              <w:right w:val="single" w:color="auto" w:sz="4" w:space="0"/>
            </w:tcBorders>
            <w:vAlign w:val="center"/>
          </w:tcPr>
          <w:p>
            <w:pPr>
              <w:spacing w:line="600" w:lineRule="exact"/>
              <w:jc w:val="center"/>
              <w:rPr>
                <w:rFonts w:asciiTheme="minorEastAsia" w:hAnsiTheme="minorEastAsia" w:cstheme="minorEastAsia"/>
                <w:color w:val="auto"/>
                <w:highlight w:val="none"/>
              </w:rPr>
            </w:pPr>
          </w:p>
        </w:tc>
      </w:tr>
    </w:tbl>
    <w:p>
      <w:pPr>
        <w:spacing w:line="600" w:lineRule="exact"/>
        <w:rPr>
          <w:rFonts w:asciiTheme="minorEastAsia" w:hAnsiTheme="minorEastAsia" w:cstheme="minorEastAsia"/>
          <w:color w:val="auto"/>
          <w:highlight w:val="none"/>
        </w:rPr>
      </w:pPr>
      <w:r>
        <w:rPr>
          <w:rFonts w:hint="eastAsia" w:asciiTheme="minorEastAsia" w:hAnsiTheme="minorEastAsia" w:cstheme="minorEastAsia"/>
          <w:color w:val="auto"/>
          <w:highlight w:val="none"/>
        </w:rPr>
        <w:t>注：上述人员如有变动，受托人将及时书面告知委托人。</w:t>
      </w:r>
    </w:p>
    <w:p>
      <w:pPr>
        <w:spacing w:line="600" w:lineRule="exact"/>
        <w:rPr>
          <w:rFonts w:asciiTheme="minorEastAsia" w:hAnsiTheme="minorEastAsia" w:cstheme="minorEastAsia"/>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第十二章  明确说明与如实告知</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第四十三条  明确说明与如实告知</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订立本合同时，受托人会向委托人说明本合同的内容。对本合同中免除受托人责任的条款，受托人在订立合同时会作出足以引起委托人注意的提示，并对该条款的内容以书面或者口头形式向委托人作出明确说明，未作提示或者明确说明的，该条款</w:t>
      </w:r>
      <w:r>
        <w:rPr>
          <w:rFonts w:asciiTheme="minorEastAsia" w:hAnsiTheme="minorEastAsia" w:cstheme="minorEastAsia"/>
          <w:color w:val="auto"/>
          <w:highlight w:val="none"/>
        </w:rPr>
        <w:t>不成为</w:t>
      </w:r>
      <w:r>
        <w:rPr>
          <w:rFonts w:hint="eastAsia" w:asciiTheme="minorEastAsia" w:hAnsiTheme="minorEastAsia" w:cstheme="minorEastAsia"/>
          <w:color w:val="auto"/>
          <w:highlight w:val="none"/>
        </w:rPr>
        <w:t>本</w:t>
      </w:r>
      <w:r>
        <w:rPr>
          <w:rFonts w:asciiTheme="minorEastAsia" w:hAnsiTheme="minorEastAsia" w:cstheme="minorEastAsia"/>
          <w:color w:val="auto"/>
          <w:highlight w:val="none"/>
        </w:rPr>
        <w:t>合同的内容</w:t>
      </w:r>
      <w:r>
        <w:rPr>
          <w:rFonts w:hint="eastAsia" w:asciiTheme="minorEastAsia" w:hAnsiTheme="minorEastAsia" w:cstheme="minorEastAsia"/>
          <w:color w:val="auto"/>
          <w:highlight w:val="none"/>
        </w:rPr>
        <w:t>。</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受托人就委托人和受益人的有关情况提出询问，委托人应当如实告知。</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如果委托人故意或者因重大过失未履行前款规定的如实告知义务，足以影响受托人决定是否同意订立合同或者提高合同费率的，受托人有权解除本合同或取消该受益人的受益人资格。</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如果委托人故意不履行如实告知义务，对于解除本合同或取消该受益人的受益人资格前发生的事故，受托人不承担给付健康保障金的责任。</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如果委托人因重大过失未履行如实告知义务，对事故的发生有严重影响的，对于解除本合同或取消该受益人的受益人资格前发生的事故，受托人不承担给付健康保障金的责任。</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受托人在合同订立时已经知道委托人未如实告知的情况的，受托人不得解除本合同或取消该受益人的受益人资格；发生事故的，受托人承担给付健康保障金的责任。</w:t>
      </w:r>
    </w:p>
    <w:p>
      <w:pPr>
        <w:spacing w:line="600" w:lineRule="exac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 xml:space="preserve">    第四十四条  受托人合同解除权的限制</w:t>
      </w:r>
    </w:p>
    <w:p>
      <w:pPr>
        <w:spacing w:line="600" w:lineRule="exact"/>
        <w:rPr>
          <w:rFonts w:asciiTheme="minorEastAsia" w:hAnsiTheme="minorEastAsia" w:cstheme="minorEastAsia"/>
          <w:bCs/>
          <w:color w:val="auto"/>
          <w:highlight w:val="none"/>
        </w:rPr>
      </w:pPr>
      <w:r>
        <w:rPr>
          <w:rFonts w:hint="eastAsia" w:asciiTheme="minorEastAsia" w:hAnsiTheme="minorEastAsia" w:cstheme="minorEastAsia"/>
          <w:bCs/>
          <w:color w:val="auto"/>
          <w:highlight w:val="none"/>
        </w:rPr>
        <w:t xml:space="preserve">    前条规定的合同解除权，自受托人知道相关解除事由之日起，超过一年不行使而消灭。</w:t>
      </w:r>
    </w:p>
    <w:p>
      <w:pPr>
        <w:spacing w:line="600" w:lineRule="exact"/>
        <w:ind w:left="420" w:firstLine="468" w:firstLineChars="195"/>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第十三章  保密责任</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第四十五条</w:t>
      </w:r>
      <w:r>
        <w:rPr>
          <w:rFonts w:hint="eastAsia" w:asciiTheme="minorEastAsia" w:hAnsiTheme="minorEastAsia" w:cstheme="minorEastAsia"/>
          <w:color w:val="auto"/>
          <w:highlight w:val="none"/>
        </w:rPr>
        <w:t xml:space="preserve"> 在本合同履行期间及履行完毕后的任何时候，任何一方均应对因履行本合同从对方获取或知悉的资料及信息承担保密责任，未经对方书面同意不得向第三方透露，否则应赔偿由此给对方造成的全部损失，但依法律、法规规定或监管部门司法部门要求的除外。</w:t>
      </w:r>
    </w:p>
    <w:p>
      <w:pPr>
        <w:spacing w:line="600" w:lineRule="exact"/>
        <w:ind w:left="420" w:firstLine="468" w:firstLineChars="195"/>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第十四章  违约责任</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 xml:space="preserve">第四十六条 </w:t>
      </w:r>
      <w:r>
        <w:rPr>
          <w:rFonts w:hint="eastAsia" w:asciiTheme="minorEastAsia" w:hAnsiTheme="minorEastAsia" w:cstheme="minorEastAsia"/>
          <w:color w:val="auto"/>
          <w:highlight w:val="none"/>
        </w:rPr>
        <w:t>在本合同履行期间因一方未按照合同约定履行本合同规定的义务从而给另一方造成经济损失的，违约方应承担相应的赔偿责任。</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受托人应严格按照理赔流程进行操作，如出现违反流程或</w:t>
      </w:r>
      <w:r>
        <w:rPr>
          <w:rFonts w:asciiTheme="minorEastAsia" w:hAnsiTheme="minorEastAsia" w:cstheme="minorEastAsia"/>
          <w:color w:val="auto"/>
          <w:highlight w:val="none"/>
        </w:rPr>
        <w:t>通过健康保障委托管理业务为他人提供违法便利</w:t>
      </w:r>
      <w:r>
        <w:rPr>
          <w:rFonts w:hint="eastAsia" w:asciiTheme="minorEastAsia" w:hAnsiTheme="minorEastAsia" w:cstheme="minorEastAsia"/>
          <w:color w:val="auto"/>
          <w:highlight w:val="none"/>
        </w:rPr>
        <w:t>等情形的，委托人有权解除本合同，因此造成委托人损失的，受托人应负责赔偿，损失范围包括但不限于直接、间接或可预见经济损失及律师费、诉讼费、保全费、强制执行费、公证费等一切损失实现债权的费用。</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由于上述违约行为导致本合同无法继续履行的，守约方有权解除合同，违约方应承担因此给守约方造成的全部损失。</w:t>
      </w:r>
    </w:p>
    <w:p>
      <w:pPr>
        <w:spacing w:line="600" w:lineRule="exact"/>
        <w:rPr>
          <w:rFonts w:asciiTheme="minorEastAsia" w:hAnsiTheme="minorEastAsia" w:cstheme="minorEastAsia"/>
          <w:b/>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第十八章  反商业贿赂条款</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第四十七条</w:t>
      </w:r>
      <w:r>
        <w:rPr>
          <w:rFonts w:hint="eastAsia" w:asciiTheme="minorEastAsia" w:hAnsiTheme="minorEastAsia" w:cstheme="minorEastAsia"/>
          <w:color w:val="auto"/>
          <w:highlight w:val="none"/>
        </w:rPr>
        <w:t xml:space="preserve"> 反商业贿赂条款是本合同之必备条款，与本合同其它条款具有同等法律效力，请与乙方签署合同之当事人认真阅读本条款，同意与乙方签订并遵守如下反商业贿赂条款：</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（一）甲乙双方都清楚并愿意严格遵守中华人民共和国反商业贿赂的法律规定，双方都清楚任何形式的贿赂和贪渎行为都将触犯法律，并将受到法律的严惩。</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二）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（三）乙方严格禁止乙方经办人员的任何商业贿赂行为。乙方经办人发生本条第二款所列示的任何一种行为，都是违反乙方公司制度的，都将受到乙方公司制度和国家法律的惩处。</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（四）乙方郑重提示：乙方反对甲方或甲方经办人员为了本合同之目的与本合同以外的任何第三方发生本条第二款所列示的任何一种行为，该等行为都是违反国家法律的行为，并将受到国家法律的惩处。</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（五）如因一方或一方经办人违反上述第二款、第三款和第四款之规定，给对方造成损失的，应承担损害赔偿责任。</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（六）本条所称“其他相关人员”是指甲乙方经办人以外的与合同有直接或间接利益关系的人员，包括但不仅限于合同经办人的亲友。</w:t>
      </w:r>
    </w:p>
    <w:p>
      <w:pPr>
        <w:spacing w:line="600" w:lineRule="exact"/>
        <w:ind w:left="420" w:firstLine="468" w:firstLineChars="195"/>
        <w:rPr>
          <w:rFonts w:asciiTheme="minorEastAsia" w:hAnsiTheme="minorEastAsia" w:cstheme="minorEastAsia"/>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第十九章  其他事项</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第四十八条</w:t>
      </w:r>
      <w:r>
        <w:rPr>
          <w:rFonts w:hint="eastAsia" w:asciiTheme="minorEastAsia" w:hAnsiTheme="minorEastAsia" w:cstheme="minorEastAsia"/>
          <w:color w:val="auto"/>
          <w:highlight w:val="none"/>
        </w:rPr>
        <w:t xml:space="preserve">  本合同有效期内，委托人、受托人双方可根据实际情况经常沟通交流信息，共同解决面临的问题。双方可通过签订补充协议形式，修改本合同内容。补充协议与本合同具有同等法律效力。</w:t>
      </w:r>
    </w:p>
    <w:p>
      <w:pPr>
        <w:spacing w:line="600" w:lineRule="exact"/>
        <w:ind w:firstLine="482" w:firstLineChars="200"/>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第四十九条</w:t>
      </w:r>
      <w:r>
        <w:rPr>
          <w:rFonts w:hint="eastAsia" w:asciiTheme="minorEastAsia" w:hAnsiTheme="minorEastAsia" w:cstheme="minorEastAsia"/>
          <w:color w:val="auto"/>
          <w:highlight w:val="none"/>
        </w:rPr>
        <w:t xml:space="preserve">  委托人、受托人双方因履行本合同发生的争议，由当事人协商解决，协商不成的，应依法向合同签订地南宁市青秀区有管辖权人民法院起诉解决争议。</w:t>
      </w:r>
    </w:p>
    <w:p>
      <w:pPr>
        <w:spacing w:line="600" w:lineRule="exact"/>
        <w:ind w:firstLine="482" w:firstLineChars="200"/>
        <w:rPr>
          <w:rFonts w:asciiTheme="minorEastAsia" w:hAnsiTheme="minorEastAsia" w:cstheme="minorEastAsia"/>
          <w:bCs/>
          <w:color w:val="auto"/>
          <w:highlight w:val="none"/>
        </w:rPr>
      </w:pPr>
      <w:r>
        <w:rPr>
          <w:rFonts w:hint="eastAsia" w:asciiTheme="minorEastAsia" w:hAnsiTheme="minorEastAsia" w:cstheme="minorEastAsia"/>
          <w:b/>
          <w:bCs/>
          <w:color w:val="auto"/>
          <w:highlight w:val="none"/>
        </w:rPr>
        <w:t>第五十条</w:t>
      </w:r>
      <w:r>
        <w:rPr>
          <w:rFonts w:hint="eastAsia" w:asciiTheme="minorEastAsia" w:hAnsiTheme="minorEastAsia" w:cstheme="minorEastAsia"/>
          <w:color w:val="auto"/>
          <w:highlight w:val="none"/>
        </w:rPr>
        <w:t xml:space="preserve">  在本合同的履行过程中若国家政策有重大变化导致受托人不能履行或不能完全履行合同时，受托人可向委托人提出书面变更，受托人和委托人应根据新的政策或新的情况重新修订本合同的相关内容，以保证合同的继续有效履行。</w:t>
      </w:r>
    </w:p>
    <w:p>
      <w:pPr>
        <w:spacing w:line="500" w:lineRule="exact"/>
        <w:ind w:firstLine="412" w:firstLineChars="171"/>
        <w:jc w:val="center"/>
        <w:rPr>
          <w:rFonts w:cs="Times New Roman"/>
          <w:b/>
          <w:bCs/>
          <w:color w:val="auto"/>
          <w:highlight w:val="none"/>
        </w:rPr>
      </w:pPr>
      <w:r>
        <w:rPr>
          <w:rFonts w:hint="eastAsia" w:asciiTheme="minorEastAsia" w:hAnsiTheme="minorEastAsia" w:cstheme="minorEastAsia"/>
          <w:b/>
          <w:bCs/>
          <w:color w:val="auto"/>
          <w:highlight w:val="none"/>
        </w:rPr>
        <w:t xml:space="preserve">第二十章   </w:t>
      </w:r>
      <w:r>
        <w:rPr>
          <w:rFonts w:hint="eastAsia" w:cs="Times New Roman"/>
          <w:b/>
          <w:bCs/>
          <w:color w:val="auto"/>
          <w:highlight w:val="none"/>
        </w:rPr>
        <w:t>通知与送达</w:t>
      </w:r>
    </w:p>
    <w:p>
      <w:pPr>
        <w:spacing w:line="500" w:lineRule="exact"/>
        <w:ind w:firstLine="412" w:firstLineChars="171"/>
        <w:rPr>
          <w:rFonts w:cs="Times New Roman"/>
          <w:color w:val="auto"/>
          <w:highlight w:val="none"/>
        </w:rPr>
      </w:pPr>
      <w:r>
        <w:rPr>
          <w:rFonts w:hint="eastAsia" w:cs="Times New Roman"/>
          <w:b/>
          <w:color w:val="auto"/>
          <w:highlight w:val="none"/>
        </w:rPr>
        <w:t xml:space="preserve">第五十一条 </w:t>
      </w:r>
      <w:r>
        <w:rPr>
          <w:rFonts w:hint="eastAsia" w:cs="Times New Roman"/>
          <w:color w:val="auto"/>
          <w:highlight w:val="none"/>
        </w:rPr>
        <w:t xml:space="preserve">合同双方送达方式如下： </w:t>
      </w:r>
    </w:p>
    <w:p>
      <w:pPr>
        <w:spacing w:line="500" w:lineRule="exact"/>
        <w:ind w:firstLine="410" w:firstLineChars="171"/>
        <w:rPr>
          <w:rFonts w:cs="Times New Roman"/>
          <w:color w:val="auto"/>
          <w:highlight w:val="none"/>
        </w:rPr>
      </w:pPr>
      <w:r>
        <w:rPr>
          <w:rFonts w:hint="eastAsia" w:cs="Times New Roman"/>
          <w:color w:val="auto"/>
          <w:highlight w:val="none"/>
        </w:rPr>
        <w:t>甲方通讯地址：    ；联系人：   ；电子邮箱：   ；手机号码：      。</w:t>
      </w:r>
    </w:p>
    <w:p>
      <w:pPr>
        <w:spacing w:line="500" w:lineRule="exact"/>
        <w:ind w:firstLine="410" w:firstLineChars="171"/>
        <w:rPr>
          <w:rFonts w:cs="Times New Roman"/>
          <w:color w:val="auto"/>
          <w:highlight w:val="none"/>
        </w:rPr>
      </w:pPr>
      <w:r>
        <w:rPr>
          <w:rFonts w:hint="eastAsia" w:cs="Times New Roman"/>
          <w:color w:val="auto"/>
          <w:highlight w:val="none"/>
        </w:rPr>
        <w:t>乙方通讯地址：  ；联系人：     ；电子邮箱：  ；手机号码：     。</w:t>
      </w:r>
    </w:p>
    <w:p>
      <w:pPr>
        <w:spacing w:line="500" w:lineRule="exact"/>
        <w:ind w:firstLine="412" w:firstLineChars="171"/>
        <w:rPr>
          <w:rFonts w:cs="Times New Roman"/>
          <w:color w:val="auto"/>
          <w:highlight w:val="none"/>
        </w:rPr>
      </w:pPr>
      <w:r>
        <w:rPr>
          <w:rFonts w:hint="eastAsia" w:cs="Times New Roman"/>
          <w:b/>
          <w:color w:val="auto"/>
          <w:highlight w:val="none"/>
        </w:rPr>
        <w:t xml:space="preserve">第五十二条 </w:t>
      </w:r>
      <w:r>
        <w:rPr>
          <w:rFonts w:hint="eastAsia" w:cs="Times New Roman"/>
          <w:color w:val="auto"/>
          <w:highlight w:val="none"/>
        </w:rPr>
        <w:t>任何一方改变上述列明的通讯地址、联系人、电子邮箱、手机号码的，应该提前三个工作日内书面通知对方。否则对方向原通讯地址、联系人、电子邮箱、手机号码发出的通知视为有效送达。</w:t>
      </w:r>
    </w:p>
    <w:p>
      <w:pPr>
        <w:spacing w:line="500" w:lineRule="exact"/>
        <w:ind w:firstLine="410" w:firstLineChars="171"/>
        <w:rPr>
          <w:rFonts w:cs="Times New Roman"/>
          <w:color w:val="auto"/>
          <w:highlight w:val="none"/>
        </w:rPr>
      </w:pPr>
      <w:r>
        <w:rPr>
          <w:rFonts w:hint="eastAsia" w:cs="Times New Roman"/>
          <w:color w:val="auto"/>
          <w:highlight w:val="none"/>
        </w:rPr>
        <w:t>任何一方发出通知，可以采取</w:t>
      </w:r>
      <w:r>
        <w:rPr>
          <w:rFonts w:cs="Times New Roman"/>
          <w:color w:val="auto"/>
          <w:highlight w:val="none"/>
        </w:rPr>
        <w:t>EMS</w:t>
      </w:r>
      <w:r>
        <w:rPr>
          <w:rFonts w:hint="eastAsia" w:cs="Times New Roman"/>
          <w:color w:val="auto"/>
          <w:highlight w:val="none"/>
        </w:rPr>
        <w:t>快递寄送或者传真、发送电子邮件、手机短信等合法方式送达对方。如通过EMS快递送达的，发出之日的次日即视为送达；如通过发送电子邮件、手机短信送达的，发出之日的当日即视为送达。</w:t>
      </w:r>
    </w:p>
    <w:p>
      <w:pPr>
        <w:spacing w:line="600" w:lineRule="exact"/>
        <w:ind w:left="-31" w:leftChars="-13" w:firstLine="494" w:firstLineChars="205"/>
        <w:jc w:val="center"/>
        <w:rPr>
          <w:rFonts w:asciiTheme="minorEastAsia" w:hAnsiTheme="minorEastAsia" w:cstheme="minorEastAsia"/>
          <w:b/>
          <w:bCs/>
          <w:color w:val="auto"/>
          <w:highlight w:val="none"/>
        </w:rPr>
      </w:pPr>
    </w:p>
    <w:p>
      <w:pPr>
        <w:spacing w:line="600" w:lineRule="exact"/>
        <w:ind w:left="-31" w:leftChars="-13" w:firstLine="494" w:firstLineChars="205"/>
        <w:jc w:val="center"/>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第二十一章 附则</w:t>
      </w:r>
    </w:p>
    <w:p>
      <w:pPr>
        <w:spacing w:line="600" w:lineRule="exact"/>
        <w:ind w:firstLine="482" w:firstLineChars="200"/>
        <w:rPr>
          <w:rFonts w:asciiTheme="minorEastAsia" w:hAnsiTheme="minorEastAsia" w:cstheme="minorEastAsia"/>
          <w:color w:val="auto"/>
          <w:highlight w:val="none"/>
        </w:rPr>
      </w:pPr>
      <w:r>
        <w:rPr>
          <w:rFonts w:hint="eastAsia" w:cs="Times New Roman"/>
          <w:b/>
          <w:color w:val="auto"/>
          <w:highlight w:val="none"/>
        </w:rPr>
        <w:t xml:space="preserve">第五十三条 </w:t>
      </w:r>
      <w:r>
        <w:rPr>
          <w:rFonts w:hint="eastAsia" w:asciiTheme="minorEastAsia" w:hAnsiTheme="minorEastAsia" w:cstheme="minorEastAsia"/>
          <w:color w:val="auto"/>
          <w:highlight w:val="none"/>
        </w:rPr>
        <w:t>本合同各项附件是本合同不可分割的组成部分，与本合同具有同等的法律效力。</w:t>
      </w:r>
    </w:p>
    <w:p>
      <w:pPr>
        <w:spacing w:line="600" w:lineRule="exact"/>
        <w:ind w:firstLine="482" w:firstLineChars="200"/>
        <w:rPr>
          <w:rFonts w:asciiTheme="minorEastAsia" w:hAnsiTheme="minorEastAsia" w:cstheme="minorEastAsia"/>
          <w:color w:val="auto"/>
          <w:highlight w:val="none"/>
        </w:rPr>
      </w:pPr>
      <w:r>
        <w:rPr>
          <w:rFonts w:hint="eastAsia" w:cs="Times New Roman"/>
          <w:b/>
          <w:color w:val="auto"/>
          <w:highlight w:val="none"/>
        </w:rPr>
        <w:t xml:space="preserve">第五十四条 </w:t>
      </w:r>
      <w:r>
        <w:rPr>
          <w:rFonts w:hint="eastAsia" w:asciiTheme="minorEastAsia" w:hAnsiTheme="minorEastAsia" w:cstheme="minorEastAsia"/>
          <w:color w:val="auto"/>
          <w:highlight w:val="none"/>
        </w:rPr>
        <w:t>本合同一式肆份，委托人、受托人双方各执贰份，每份都具有同等效力。</w:t>
      </w:r>
    </w:p>
    <w:p>
      <w:pPr>
        <w:spacing w:line="600" w:lineRule="exact"/>
        <w:rPr>
          <w:rFonts w:asciiTheme="minorEastAsia" w:hAnsiTheme="minorEastAsia" w:cstheme="minorEastAsia"/>
          <w:bCs/>
          <w:color w:val="auto"/>
          <w:highlight w:val="none"/>
        </w:rPr>
      </w:pPr>
    </w:p>
    <w:p>
      <w:pPr>
        <w:pStyle w:val="12"/>
        <w:rPr>
          <w:color w:val="auto"/>
          <w:highlight w:val="none"/>
        </w:rPr>
      </w:pPr>
    </w:p>
    <w:p>
      <w:pPr>
        <w:pStyle w:val="12"/>
        <w:rPr>
          <w:color w:val="auto"/>
          <w:highlight w:val="none"/>
        </w:rPr>
      </w:pP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委托人：广西壮族自治区农村信用社联合社（公章）</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授权代表（签名或签章）：</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地址：广西南宁市民族大道148号</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年　　月　　日</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 </w:t>
      </w:r>
    </w:p>
    <w:p>
      <w:pPr>
        <w:pStyle w:val="12"/>
        <w:rPr>
          <w:color w:val="auto"/>
          <w:highlight w:val="none"/>
        </w:rPr>
      </w:pPr>
    </w:p>
    <w:p>
      <w:pPr>
        <w:pStyle w:val="12"/>
        <w:rPr>
          <w:color w:val="auto"/>
          <w:highlight w:val="none"/>
        </w:rPr>
      </w:pP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受托人：</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授权代表（签名或签章）：</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地址：</w:t>
      </w:r>
    </w:p>
    <w:p>
      <w:pPr>
        <w:spacing w:line="600" w:lineRule="exact"/>
        <w:ind w:firstLine="480" w:firstLineChars="200"/>
        <w:rPr>
          <w:rFonts w:asciiTheme="minorEastAsia" w:hAnsiTheme="minorEastAsia" w:cstheme="minorEastAsia"/>
          <w:color w:val="auto"/>
          <w:highlight w:val="none"/>
        </w:rPr>
      </w:pPr>
      <w:r>
        <w:rPr>
          <w:rFonts w:hint="eastAsia" w:asciiTheme="minorEastAsia" w:hAnsiTheme="minorEastAsia" w:cstheme="minorEastAsia"/>
          <w:color w:val="auto"/>
          <w:highlight w:val="none"/>
        </w:rPr>
        <w:t>年　　月　　日</w:t>
      </w:r>
    </w:p>
    <w:p>
      <w:pPr>
        <w:autoSpaceDE w:val="0"/>
        <w:autoSpaceDN w:val="0"/>
        <w:adjustRightInd w:val="0"/>
        <w:spacing w:before="55"/>
        <w:rPr>
          <w:color w:val="auto"/>
          <w:highlight w:val="none"/>
        </w:rPr>
      </w:pPr>
    </w:p>
    <w:p>
      <w:pPr>
        <w:pStyle w:val="12"/>
        <w:rPr>
          <w:rFonts w:ascii="宋体" w:hAnsi="宋体" w:cs="宋体"/>
          <w:color w:val="auto"/>
          <w:highlight w:val="none"/>
        </w:rPr>
      </w:pPr>
    </w:p>
    <w:p>
      <w:pPr>
        <w:keepNext/>
        <w:keepLines/>
        <w:adjustRightInd w:val="0"/>
        <w:snapToGrid w:val="0"/>
        <w:jc w:val="center"/>
        <w:outlineLvl w:val="1"/>
        <w:rPr>
          <w:rFonts w:ascii="方正小标宋简体" w:hAnsi="Arial" w:eastAsia="方正小标宋简体" w:cs="Times New Roman"/>
          <w:color w:val="auto"/>
          <w:sz w:val="44"/>
          <w:szCs w:val="44"/>
          <w:highlight w:val="none"/>
        </w:rPr>
      </w:pPr>
      <w:r>
        <w:rPr>
          <w:rFonts w:hint="eastAsia" w:ascii="方正小标宋简体" w:hAnsi="Arial" w:eastAsia="方正小标宋简体" w:cs="Times New Roman"/>
          <w:color w:val="auto"/>
          <w:sz w:val="44"/>
          <w:szCs w:val="44"/>
          <w:highlight w:val="none"/>
        </w:rPr>
        <w:t>第五部分 评审标准及方法</w:t>
      </w:r>
    </w:p>
    <w:p>
      <w:pPr>
        <w:keepNext/>
        <w:keepLines/>
        <w:adjustRightInd w:val="0"/>
        <w:snapToGrid w:val="0"/>
        <w:spacing w:line="400" w:lineRule="exact"/>
        <w:ind w:firstLine="482" w:firstLineChars="200"/>
        <w:outlineLvl w:val="0"/>
        <w:rPr>
          <w:rFonts w:cs="Times New Roman"/>
          <w:b/>
          <w:color w:val="auto"/>
          <w:highlight w:val="none"/>
        </w:rPr>
      </w:pPr>
      <w:bookmarkStart w:id="37" w:name="_Toc442214688"/>
      <w:bookmarkStart w:id="38" w:name="_Toc442212286"/>
    </w:p>
    <w:p>
      <w:pPr>
        <w:keepNext/>
        <w:keepLines/>
        <w:adjustRightInd w:val="0"/>
        <w:snapToGrid w:val="0"/>
        <w:spacing w:line="400" w:lineRule="exact"/>
        <w:ind w:firstLine="482" w:firstLineChars="200"/>
        <w:outlineLvl w:val="0"/>
        <w:rPr>
          <w:rFonts w:cs="Times New Roman"/>
          <w:b/>
          <w:color w:val="auto"/>
          <w:highlight w:val="none"/>
        </w:rPr>
      </w:pPr>
      <w:r>
        <w:rPr>
          <w:rFonts w:hint="eastAsia" w:cs="Times New Roman"/>
          <w:b/>
          <w:color w:val="auto"/>
          <w:highlight w:val="none"/>
        </w:rPr>
        <w:t>一、评审原则</w:t>
      </w:r>
      <w:bookmarkEnd w:id="37"/>
      <w:bookmarkEnd w:id="38"/>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（一）评委构成：本采购项目的磋商小组评委由采购人根据采购内容特点确定，成员人数为5人及以上单数。</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（二）评审依据：磋商小组评委将以磋商文件为评审依据，对供应商提交的最后价格、服务质量、资质业绩、经营业绩等方面内容进行评价。</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（三）评审方式：采用百分制综合评分法。</w:t>
      </w:r>
    </w:p>
    <w:p>
      <w:pPr>
        <w:keepNext/>
        <w:keepLines/>
        <w:adjustRightInd w:val="0"/>
        <w:snapToGrid w:val="0"/>
        <w:spacing w:line="400" w:lineRule="exact"/>
        <w:ind w:firstLine="482" w:firstLineChars="200"/>
        <w:outlineLvl w:val="0"/>
        <w:rPr>
          <w:rFonts w:cs="Times New Roman"/>
          <w:b/>
          <w:color w:val="auto"/>
          <w:highlight w:val="none"/>
        </w:rPr>
      </w:pPr>
      <w:bookmarkStart w:id="39" w:name="_Toc442214689"/>
      <w:bookmarkStart w:id="40" w:name="_Toc442212287"/>
      <w:r>
        <w:rPr>
          <w:rFonts w:hint="eastAsia" w:cs="Times New Roman"/>
          <w:b/>
          <w:color w:val="auto"/>
          <w:highlight w:val="none"/>
        </w:rPr>
        <w:t>二、</w:t>
      </w:r>
      <w:r>
        <w:rPr>
          <w:rFonts w:hint="eastAsia" w:cs="Times New Roman"/>
          <w:b/>
          <w:color w:val="auto"/>
          <w:highlight w:val="none"/>
          <w:lang w:val="en-US" w:eastAsia="zh-CN"/>
        </w:rPr>
        <w:t>供应商</w:t>
      </w:r>
      <w:r>
        <w:rPr>
          <w:rFonts w:hint="eastAsia" w:cs="Times New Roman"/>
          <w:b/>
          <w:color w:val="auto"/>
          <w:highlight w:val="none"/>
        </w:rPr>
        <w:t>资格和符合性审查</w:t>
      </w:r>
      <w:bookmarkEnd w:id="39"/>
      <w:bookmarkEnd w:id="40"/>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磋商小组评委对参加磋商供应商的响应文件进行审查，是否存在</w:t>
      </w:r>
      <w:r>
        <w:rPr>
          <w:rFonts w:hint="eastAsia" w:cs="Times New Roman"/>
          <w:color w:val="auto"/>
          <w:highlight w:val="none"/>
          <w:lang w:val="en-US" w:eastAsia="zh-CN"/>
        </w:rPr>
        <w:t>不符合</w:t>
      </w:r>
      <w:r>
        <w:rPr>
          <w:rFonts w:hint="eastAsia" w:cs="Times New Roman"/>
          <w:color w:val="auto"/>
          <w:highlight w:val="none"/>
        </w:rPr>
        <w:t>本磋商文件</w:t>
      </w:r>
      <w:r>
        <w:rPr>
          <w:rFonts w:hint="eastAsia" w:cs="Times New Roman"/>
          <w:color w:val="auto"/>
          <w:highlight w:val="none"/>
          <w:lang w:val="en-US" w:eastAsia="zh-CN"/>
        </w:rPr>
        <w:t>要求而导致作废</w:t>
      </w:r>
      <w:r>
        <w:rPr>
          <w:rFonts w:hint="eastAsia" w:cs="Times New Roman"/>
          <w:color w:val="auto"/>
          <w:highlight w:val="none"/>
        </w:rPr>
        <w:t>的情况，是否存在实质上不响应磋商文件项目需求要求的情况。通过审查的参加磋商供应商方能进入详评。</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（一）资格审查：参加本次磋商的供应商均通过资格后审方式获得磋商资格，资格审查不合格的响应文件将无法进入详评。</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（二）符合性审查：参加磋商供应商的响应文件应实质上响应磋商文件的要求，应与磋商文件的有关条款、条件及规定相符，无明显差异或保留，实质上不响应磋商文件要求的</w:t>
      </w:r>
      <w:r>
        <w:rPr>
          <w:rFonts w:hint="eastAsia" w:cs="Times New Roman"/>
          <w:color w:val="auto"/>
          <w:highlight w:val="none"/>
          <w:lang w:val="en-US" w:eastAsia="zh-CN"/>
        </w:rPr>
        <w:t>响应文件</w:t>
      </w:r>
      <w:r>
        <w:rPr>
          <w:rFonts w:hint="eastAsia" w:cs="Times New Roman"/>
          <w:color w:val="auto"/>
          <w:highlight w:val="none"/>
        </w:rPr>
        <w:t>将无法进入详评。</w:t>
      </w:r>
    </w:p>
    <w:p>
      <w:pPr>
        <w:keepNext/>
        <w:keepLines/>
        <w:adjustRightInd w:val="0"/>
        <w:snapToGrid w:val="0"/>
        <w:spacing w:line="400" w:lineRule="exact"/>
        <w:ind w:firstLine="482" w:firstLineChars="200"/>
        <w:rPr>
          <w:rFonts w:cs="Times New Roman"/>
          <w:b/>
          <w:color w:val="auto"/>
          <w:highlight w:val="none"/>
        </w:rPr>
      </w:pPr>
      <w:r>
        <w:rPr>
          <w:rFonts w:hint="eastAsia" w:cs="Times New Roman"/>
          <w:b/>
          <w:color w:val="auto"/>
          <w:highlight w:val="none"/>
        </w:rPr>
        <w:t>三、详评</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通过资格和符合性审查合格的参加磋商供应商进入详评，采用百分制综合评分法对其进行评分。综合得分为评委打分的平均分（按四舍五入取至百分位），具体标准如下：</w:t>
      </w:r>
      <w:bookmarkStart w:id="41" w:name="_Toc35418121"/>
    </w:p>
    <w:tbl>
      <w:tblPr>
        <w:tblStyle w:val="31"/>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6"/>
        <w:gridCol w:w="911"/>
        <w:gridCol w:w="911"/>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blHeader/>
          <w:jc w:val="center"/>
        </w:trPr>
        <w:tc>
          <w:tcPr>
            <w:tcW w:w="2093" w:type="dxa"/>
            <w:gridSpan w:val="3"/>
            <w:shd w:val="clear" w:color="auto" w:fill="FFFFFF"/>
            <w:vAlign w:val="center"/>
          </w:tcPr>
          <w:p>
            <w:pPr>
              <w:snapToGrid w:val="0"/>
              <w:jc w:val="center"/>
              <w:rPr>
                <w:b/>
                <w:color w:val="auto"/>
                <w:highlight w:val="none"/>
              </w:rPr>
            </w:pPr>
            <w:r>
              <w:rPr>
                <w:b/>
                <w:color w:val="auto"/>
                <w:highlight w:val="none"/>
              </w:rPr>
              <w:t>评分因素</w:t>
            </w:r>
          </w:p>
        </w:tc>
        <w:tc>
          <w:tcPr>
            <w:tcW w:w="911" w:type="dxa"/>
            <w:shd w:val="clear" w:color="auto" w:fill="FFFFFF"/>
            <w:vAlign w:val="center"/>
          </w:tcPr>
          <w:p>
            <w:pPr>
              <w:snapToGrid w:val="0"/>
              <w:jc w:val="center"/>
              <w:rPr>
                <w:b/>
                <w:color w:val="auto"/>
                <w:highlight w:val="none"/>
              </w:rPr>
            </w:pPr>
            <w:r>
              <w:rPr>
                <w:b/>
                <w:color w:val="auto"/>
                <w:highlight w:val="none"/>
              </w:rPr>
              <w:t>分值区间</w:t>
            </w:r>
          </w:p>
        </w:tc>
        <w:tc>
          <w:tcPr>
            <w:tcW w:w="6863" w:type="dxa"/>
            <w:shd w:val="clear" w:color="auto" w:fill="FFFFFF"/>
            <w:vAlign w:val="center"/>
          </w:tcPr>
          <w:p>
            <w:pPr>
              <w:snapToGrid w:val="0"/>
              <w:jc w:val="center"/>
              <w:rPr>
                <w:b/>
                <w:color w:val="auto"/>
                <w:highlight w:val="none"/>
              </w:rPr>
            </w:pPr>
            <w:r>
              <w:rPr>
                <w:b/>
                <w:color w:val="auto"/>
                <w:highlight w:val="none"/>
              </w:rPr>
              <w:t>评分</w:t>
            </w:r>
            <w:r>
              <w:rPr>
                <w:rFonts w:hint="eastAsia"/>
                <w:b/>
                <w:color w:val="auto"/>
                <w:highlight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093" w:type="dxa"/>
            <w:gridSpan w:val="3"/>
            <w:vAlign w:val="center"/>
          </w:tcPr>
          <w:p>
            <w:pPr>
              <w:snapToGrid w:val="0"/>
              <w:jc w:val="center"/>
              <w:rPr>
                <w:rFonts w:hint="eastAsia"/>
                <w:color w:val="auto"/>
                <w:highlight w:val="none"/>
              </w:rPr>
            </w:pPr>
            <w:r>
              <w:rPr>
                <w:rFonts w:hint="eastAsia"/>
                <w:color w:val="auto"/>
                <w:highlight w:val="none"/>
              </w:rPr>
              <w:t>管理费率报价</w:t>
            </w:r>
          </w:p>
        </w:tc>
        <w:tc>
          <w:tcPr>
            <w:tcW w:w="911" w:type="dxa"/>
            <w:vAlign w:val="center"/>
          </w:tcPr>
          <w:p>
            <w:pPr>
              <w:jc w:val="center"/>
              <w:rPr>
                <w:color w:val="auto"/>
                <w:highlight w:val="none"/>
              </w:rPr>
            </w:pPr>
            <w:r>
              <w:rPr>
                <w:rFonts w:hint="eastAsia"/>
                <w:color w:val="auto"/>
                <w:highlight w:val="yellow"/>
                <w:lang w:val="en-US" w:eastAsia="zh-CN"/>
              </w:rPr>
              <w:t>20</w:t>
            </w:r>
          </w:p>
        </w:tc>
        <w:tc>
          <w:tcPr>
            <w:tcW w:w="6863" w:type="dxa"/>
            <w:vAlign w:val="center"/>
          </w:tcPr>
          <w:p>
            <w:pPr>
              <w:pStyle w:val="12"/>
              <w:numPr>
                <w:ilvl w:val="-1"/>
                <w:numId w:val="0"/>
              </w:numPr>
              <w:rPr>
                <w:color w:val="auto"/>
                <w:highlight w:val="none"/>
              </w:rPr>
            </w:pPr>
            <w:r>
              <w:rPr>
                <w:rFonts w:hint="eastAsia"/>
                <w:color w:val="auto"/>
                <w:highlight w:val="none"/>
              </w:rPr>
              <w:t xml:space="preserve"> </w:t>
            </w:r>
            <w:r>
              <w:rPr>
                <w:rFonts w:hint="eastAsia"/>
                <w:color w:val="auto"/>
                <w:highlight w:val="none"/>
                <w:lang w:val="en-US" w:eastAsia="zh-CN"/>
              </w:rPr>
              <w:t>供应商</w:t>
            </w:r>
            <w:r>
              <w:rPr>
                <w:rFonts w:hint="eastAsia"/>
                <w:color w:val="auto"/>
                <w:highlight w:val="none"/>
              </w:rPr>
              <w:t>最终报价分=</w:t>
            </w:r>
            <w:r>
              <w:rPr>
                <w:rFonts w:hint="eastAsia"/>
                <w:color w:val="auto"/>
                <w:highlight w:val="none"/>
                <w:lang w:val="en-US" w:eastAsia="zh-CN"/>
              </w:rPr>
              <w:t>2</w:t>
            </w:r>
            <w:r>
              <w:rPr>
                <w:rFonts w:hint="eastAsia"/>
                <w:color w:val="auto"/>
                <w:highlight w:val="none"/>
              </w:rPr>
              <w:t>0-[</w:t>
            </w:r>
            <w:r>
              <w:rPr>
                <w:rFonts w:hint="eastAsia"/>
                <w:color w:val="auto"/>
                <w:highlight w:val="none"/>
                <w:lang w:val="en-US" w:eastAsia="zh-CN"/>
              </w:rPr>
              <w:t>供应商</w:t>
            </w:r>
            <w:r>
              <w:rPr>
                <w:rFonts w:hint="eastAsia"/>
                <w:color w:val="auto"/>
                <w:highlight w:val="none"/>
              </w:rPr>
              <w:t>报价费率（%）-有效</w:t>
            </w:r>
            <w:r>
              <w:rPr>
                <w:rFonts w:hint="eastAsia"/>
                <w:color w:val="auto"/>
                <w:highlight w:val="none"/>
                <w:lang w:val="en-US" w:eastAsia="zh-CN"/>
              </w:rPr>
              <w:t>供应商</w:t>
            </w:r>
            <w:r>
              <w:rPr>
                <w:rFonts w:hint="eastAsia"/>
                <w:color w:val="auto"/>
                <w:highlight w:val="none"/>
              </w:rPr>
              <w:t xml:space="preserve">最低报价费率(%）]×1000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093" w:type="dxa"/>
            <w:gridSpan w:val="3"/>
            <w:vAlign w:val="center"/>
          </w:tcPr>
          <w:p>
            <w:pPr>
              <w:snapToGrid w:val="0"/>
              <w:jc w:val="center"/>
              <w:rPr>
                <w:rFonts w:hint="eastAsia"/>
                <w:color w:val="auto"/>
                <w:highlight w:val="none"/>
              </w:rPr>
            </w:pPr>
            <w:r>
              <w:rPr>
                <w:rFonts w:hint="eastAsia"/>
                <w:color w:val="auto"/>
                <w:highlight w:val="none"/>
              </w:rPr>
              <w:t>项目实施方案</w:t>
            </w:r>
          </w:p>
        </w:tc>
        <w:tc>
          <w:tcPr>
            <w:tcW w:w="911" w:type="dxa"/>
            <w:vAlign w:val="center"/>
          </w:tcPr>
          <w:p>
            <w:pPr>
              <w:jc w:val="center"/>
              <w:rPr>
                <w:color w:val="auto"/>
                <w:highlight w:val="none"/>
              </w:rPr>
            </w:pPr>
            <w:r>
              <w:rPr>
                <w:rFonts w:hint="eastAsia"/>
                <w:color w:val="auto"/>
                <w:highlight w:val="none"/>
                <w:lang w:val="en-US" w:eastAsia="zh-CN"/>
              </w:rPr>
              <w:t>5</w:t>
            </w:r>
          </w:p>
        </w:tc>
        <w:tc>
          <w:tcPr>
            <w:tcW w:w="6863" w:type="dxa"/>
            <w:vAlign w:val="center"/>
          </w:tcPr>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项目实施方案：按等级打分。由评委在打分前根据</w:t>
            </w:r>
            <w:r>
              <w:rPr>
                <w:rFonts w:hint="eastAsia" w:cs="Times New Roman"/>
                <w:color w:val="auto"/>
                <w:highlight w:val="none"/>
                <w:lang w:val="en-US" w:eastAsia="zh-CN"/>
              </w:rPr>
              <w:t>供应商</w:t>
            </w:r>
            <w:r>
              <w:rPr>
                <w:rFonts w:hint="eastAsia" w:cs="Times New Roman"/>
                <w:color w:val="auto"/>
                <w:highlight w:val="none"/>
              </w:rPr>
              <w:t>的项目实施方案编制情况及优劣确定方案档次，按档次独立打分。</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 xml:space="preserve"> 一档（0-1分）：项目实施方案内容、相关安排一般；</w:t>
            </w:r>
          </w:p>
          <w:p>
            <w:pPr>
              <w:keepNext/>
              <w:keepLines/>
              <w:adjustRightInd w:val="0"/>
              <w:snapToGrid w:val="0"/>
              <w:spacing w:line="400" w:lineRule="exact"/>
              <w:ind w:firstLine="0" w:firstLineChars="0"/>
              <w:rPr>
                <w:rFonts w:hint="eastAsia" w:cs="Times New Roman"/>
                <w:color w:val="auto"/>
                <w:highlight w:val="none"/>
              </w:rPr>
            </w:pPr>
            <w:r>
              <w:rPr>
                <w:rFonts w:hint="eastAsia" w:cs="Times New Roman"/>
                <w:color w:val="auto"/>
                <w:highlight w:val="none"/>
                <w:lang w:val="en-US" w:eastAsia="zh-CN"/>
              </w:rPr>
              <w:t xml:space="preserve">    </w:t>
            </w:r>
            <w:r>
              <w:rPr>
                <w:rFonts w:hint="eastAsia" w:cs="Times New Roman"/>
                <w:color w:val="auto"/>
                <w:highlight w:val="none"/>
              </w:rPr>
              <w:t xml:space="preserve"> 二档（2-3分）：项目实施方案内容基本完善，安排较为明确，具体措施较全面、可操作性较强；</w:t>
            </w:r>
          </w:p>
          <w:p>
            <w:pPr>
              <w:keepNext/>
              <w:keepLines/>
              <w:adjustRightInd w:val="0"/>
              <w:snapToGrid w:val="0"/>
              <w:rPr>
                <w:rFonts w:cs="Times New Roman"/>
                <w:color w:val="auto"/>
                <w:highlight w:val="none"/>
              </w:rPr>
            </w:pPr>
            <w:r>
              <w:rPr>
                <w:rFonts w:hint="eastAsia" w:cs="Times New Roman"/>
                <w:color w:val="auto"/>
                <w:highlight w:val="none"/>
              </w:rPr>
              <w:t xml:space="preserve">    三档（4-5分）：项目实施方案内容详细全面，安排清晰明确，具体措施全面、可操作性强且易于实施，项目进度安排合理。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093" w:type="dxa"/>
            <w:gridSpan w:val="3"/>
            <w:vAlign w:val="center"/>
          </w:tcPr>
          <w:p>
            <w:pPr>
              <w:snapToGrid w:val="0"/>
              <w:jc w:val="center"/>
              <w:rPr>
                <w:rFonts w:hint="eastAsia"/>
                <w:color w:val="auto"/>
                <w:highlight w:val="none"/>
              </w:rPr>
            </w:pPr>
            <w:r>
              <w:rPr>
                <w:rFonts w:hint="eastAsia"/>
                <w:color w:val="auto"/>
                <w:highlight w:val="none"/>
              </w:rPr>
              <w:t>理赔服务</w:t>
            </w:r>
          </w:p>
        </w:tc>
        <w:tc>
          <w:tcPr>
            <w:tcW w:w="911" w:type="dxa"/>
            <w:vAlign w:val="center"/>
          </w:tcPr>
          <w:p>
            <w:pPr>
              <w:snapToGrid w:val="0"/>
              <w:jc w:val="center"/>
              <w:rPr>
                <w:color w:val="auto"/>
                <w:highlight w:val="none"/>
              </w:rPr>
            </w:pPr>
            <w:r>
              <w:rPr>
                <w:rFonts w:hint="eastAsia"/>
                <w:color w:val="auto"/>
                <w:highlight w:val="none"/>
                <w:lang w:val="en-US" w:eastAsia="zh-CN"/>
              </w:rPr>
              <w:t>15</w:t>
            </w:r>
          </w:p>
        </w:tc>
        <w:tc>
          <w:tcPr>
            <w:tcW w:w="6863" w:type="dxa"/>
            <w:vAlign w:val="center"/>
          </w:tcPr>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根据</w:t>
            </w:r>
            <w:r>
              <w:rPr>
                <w:rFonts w:hint="eastAsia" w:cs="Times New Roman"/>
                <w:color w:val="auto"/>
                <w:highlight w:val="none"/>
                <w:lang w:val="en-US" w:eastAsia="zh-CN"/>
              </w:rPr>
              <w:t>供应商</w:t>
            </w:r>
            <w:r>
              <w:rPr>
                <w:rFonts w:hint="eastAsia" w:cs="Times New Roman"/>
                <w:color w:val="auto"/>
                <w:highlight w:val="none"/>
              </w:rPr>
              <w:t>的项目实施方案中关于理赔服务方面的具体方案措施的情况及优劣确定所属档次，按档次独立打分（</w:t>
            </w:r>
            <w:r>
              <w:rPr>
                <w:rFonts w:hint="eastAsia" w:cs="Times New Roman"/>
                <w:color w:val="auto"/>
                <w:highlight w:val="none"/>
                <w:lang w:val="en-US" w:eastAsia="zh-CN"/>
              </w:rPr>
              <w:t>供应商</w:t>
            </w:r>
            <w:r>
              <w:rPr>
                <w:rFonts w:hint="eastAsia" w:cs="Times New Roman"/>
                <w:color w:val="auto"/>
                <w:highlight w:val="none"/>
              </w:rPr>
              <w:t>需提供国家颁发的版权证书及系统截图证明、既往理赔截图说明）。</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一档（0-5分）：只能提交纸质材料进行理赔申请，流程复杂，材料较多；</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二档（6-10分）：能借助第三方电子化理赔平台进行自助理赔，流程相对简单，材料较少；</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三档（11-15分）：能提供自主开发的非第三方PC端、手机APP等电子化理赔平台进行自助理赔，相关功能完善，流程清晰简单明了，理赔便捷，材料较少。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182" w:type="dxa"/>
            <w:gridSpan w:val="2"/>
            <w:vMerge w:val="restart"/>
            <w:vAlign w:val="center"/>
          </w:tcPr>
          <w:p>
            <w:pPr>
              <w:snapToGrid w:val="0"/>
              <w:jc w:val="center"/>
              <w:rPr>
                <w:color w:val="auto"/>
                <w:highlight w:val="none"/>
              </w:rPr>
            </w:pPr>
            <w:r>
              <w:rPr>
                <w:rFonts w:hint="eastAsia"/>
                <w:color w:val="auto"/>
                <w:highlight w:val="none"/>
              </w:rPr>
              <w:t>理赔</w:t>
            </w:r>
            <w:r>
              <w:rPr>
                <w:rFonts w:hint="eastAsia"/>
                <w:color w:val="auto"/>
                <w:highlight w:val="none"/>
                <w:lang w:val="en-US" w:eastAsia="zh-CN"/>
              </w:rPr>
              <w:t>时限</w:t>
            </w:r>
          </w:p>
        </w:tc>
        <w:tc>
          <w:tcPr>
            <w:tcW w:w="911" w:type="dxa"/>
            <w:vAlign w:val="center"/>
          </w:tcPr>
          <w:p>
            <w:pPr>
              <w:snapToGrid w:val="0"/>
              <w:jc w:val="center"/>
              <w:rPr>
                <w:rFonts w:hint="eastAsia" w:eastAsia="宋体"/>
                <w:color w:val="auto"/>
                <w:highlight w:val="none"/>
                <w:lang w:val="en-US" w:eastAsia="zh-CN"/>
              </w:rPr>
            </w:pPr>
            <w:r>
              <w:rPr>
                <w:rFonts w:hint="eastAsia"/>
                <w:color w:val="auto"/>
                <w:highlight w:val="none"/>
                <w:lang w:val="en-US" w:eastAsia="zh-CN"/>
              </w:rPr>
              <w:t>线上</w:t>
            </w:r>
          </w:p>
        </w:tc>
        <w:tc>
          <w:tcPr>
            <w:tcW w:w="911" w:type="dxa"/>
            <w:vAlign w:val="center"/>
          </w:tcPr>
          <w:p>
            <w:pPr>
              <w:snapToGrid w:val="0"/>
              <w:jc w:val="center"/>
              <w:rPr>
                <w:rFonts w:hint="eastAsia" w:eastAsia="宋体"/>
                <w:color w:val="auto"/>
                <w:highlight w:val="none"/>
                <w:lang w:val="en-US" w:eastAsia="zh-CN"/>
              </w:rPr>
            </w:pPr>
            <w:r>
              <w:rPr>
                <w:rFonts w:hint="eastAsia"/>
                <w:color w:val="auto"/>
                <w:highlight w:val="none"/>
                <w:lang w:val="en-US" w:eastAsia="zh-CN"/>
              </w:rPr>
              <w:t>10</w:t>
            </w:r>
          </w:p>
        </w:tc>
        <w:tc>
          <w:tcPr>
            <w:tcW w:w="6863" w:type="dxa"/>
            <w:vAlign w:val="center"/>
          </w:tcPr>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一档（0-3分）：</w:t>
            </w:r>
            <w:r>
              <w:rPr>
                <w:rFonts w:hint="eastAsia" w:cs="Times New Roman"/>
                <w:color w:val="auto"/>
                <w:highlight w:val="none"/>
                <w:lang w:val="en-US" w:eastAsia="zh-CN"/>
              </w:rPr>
              <w:t>保险服务供应商</w:t>
            </w:r>
            <w:r>
              <w:rPr>
                <w:rFonts w:hint="eastAsia" w:cs="Times New Roman"/>
                <w:color w:val="auto"/>
                <w:highlight w:val="none"/>
              </w:rPr>
              <w:t>有明确的理赔必备材料清单及材料要求，在索赔材料齐全的情况下，线上自主理赔的5个工作日内完成审核转账；</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二档（4-6分）：</w:t>
            </w:r>
            <w:r>
              <w:rPr>
                <w:rFonts w:hint="eastAsia" w:cs="Times New Roman"/>
                <w:color w:val="auto"/>
                <w:highlight w:val="none"/>
                <w:lang w:val="en-US" w:eastAsia="zh-CN"/>
              </w:rPr>
              <w:t>保险服务供应商</w:t>
            </w:r>
            <w:r>
              <w:rPr>
                <w:rFonts w:hint="eastAsia" w:cs="Times New Roman"/>
                <w:color w:val="auto"/>
                <w:highlight w:val="none"/>
              </w:rPr>
              <w:t>有明确的理赔必备材料清单及材料要求，在索赔材料齐全的情况下，线上自主理赔的3个工作日内完成审核转账；</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三档（7-10分）：</w:t>
            </w:r>
            <w:r>
              <w:rPr>
                <w:rFonts w:hint="eastAsia" w:cs="Times New Roman"/>
                <w:color w:val="auto"/>
                <w:highlight w:val="none"/>
                <w:lang w:val="en-US" w:eastAsia="zh-CN"/>
              </w:rPr>
              <w:t>保险服务供应商</w:t>
            </w:r>
            <w:r>
              <w:rPr>
                <w:rFonts w:hint="eastAsia" w:cs="Times New Roman"/>
                <w:color w:val="auto"/>
                <w:highlight w:val="none"/>
              </w:rPr>
              <w:t>有明确的理赔必备材料清单及材料要求，在索赔材料齐全的情况下，线上自主理赔的1个工作日内完成审核转账。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182" w:type="dxa"/>
            <w:gridSpan w:val="2"/>
            <w:vMerge w:val="continue"/>
            <w:vAlign w:val="center"/>
          </w:tcPr>
          <w:p>
            <w:pPr>
              <w:snapToGrid w:val="0"/>
              <w:jc w:val="center"/>
              <w:rPr>
                <w:color w:val="auto"/>
                <w:highlight w:val="none"/>
              </w:rPr>
            </w:pPr>
          </w:p>
        </w:tc>
        <w:tc>
          <w:tcPr>
            <w:tcW w:w="911" w:type="dxa"/>
            <w:vAlign w:val="center"/>
          </w:tcPr>
          <w:p>
            <w:pPr>
              <w:snapToGrid w:val="0"/>
              <w:jc w:val="center"/>
              <w:rPr>
                <w:rFonts w:hint="eastAsia" w:eastAsia="宋体"/>
                <w:color w:val="auto"/>
                <w:highlight w:val="none"/>
                <w:lang w:val="en-US" w:eastAsia="zh-CN"/>
              </w:rPr>
            </w:pPr>
            <w:r>
              <w:rPr>
                <w:rFonts w:hint="eastAsia"/>
                <w:color w:val="auto"/>
                <w:highlight w:val="none"/>
                <w:lang w:val="en-US" w:eastAsia="zh-CN"/>
              </w:rPr>
              <w:t>线下</w:t>
            </w:r>
          </w:p>
        </w:tc>
        <w:tc>
          <w:tcPr>
            <w:tcW w:w="911" w:type="dxa"/>
            <w:vAlign w:val="center"/>
          </w:tcPr>
          <w:p>
            <w:pPr>
              <w:snapToGrid w:val="0"/>
              <w:jc w:val="center"/>
              <w:rPr>
                <w:color w:val="auto"/>
                <w:highlight w:val="none"/>
              </w:rPr>
            </w:pPr>
            <w:r>
              <w:rPr>
                <w:rFonts w:hint="eastAsia"/>
                <w:color w:val="auto"/>
                <w:highlight w:val="none"/>
                <w:lang w:val="en-US" w:eastAsia="zh-CN"/>
              </w:rPr>
              <w:t>5</w:t>
            </w:r>
          </w:p>
        </w:tc>
        <w:tc>
          <w:tcPr>
            <w:tcW w:w="6863" w:type="dxa"/>
            <w:vAlign w:val="center"/>
          </w:tcPr>
          <w:p>
            <w:pPr>
              <w:keepNext/>
              <w:keepLines/>
              <w:adjustRightInd w:val="0"/>
              <w:snapToGrid w:val="0"/>
              <w:spacing w:line="400" w:lineRule="exact"/>
              <w:ind w:firstLine="480" w:firstLineChars="200"/>
              <w:rPr>
                <w:rFonts w:hint="eastAsia"/>
                <w:color w:val="auto"/>
                <w:highlight w:val="none"/>
              </w:rPr>
            </w:pPr>
            <w:r>
              <w:rPr>
                <w:rFonts w:hint="eastAsia"/>
                <w:color w:val="auto"/>
                <w:highlight w:val="none"/>
              </w:rPr>
              <w:t>一档（0-1分）：</w:t>
            </w:r>
            <w:r>
              <w:rPr>
                <w:rFonts w:hint="eastAsia" w:cs="Times New Roman"/>
                <w:color w:val="auto"/>
                <w:highlight w:val="none"/>
                <w:lang w:val="en-US" w:eastAsia="zh-CN"/>
              </w:rPr>
              <w:t>保险服务供应商</w:t>
            </w:r>
            <w:r>
              <w:rPr>
                <w:rFonts w:hint="eastAsia"/>
                <w:color w:val="auto"/>
                <w:highlight w:val="none"/>
              </w:rPr>
              <w:t>有明确的理赔必备材料清单及材料要求，在索赔材料齐全的情况下，线下票据报销的7个工作日内完成审核转账；</w:t>
            </w:r>
          </w:p>
          <w:p>
            <w:pPr>
              <w:keepNext/>
              <w:keepLines/>
              <w:adjustRightInd w:val="0"/>
              <w:snapToGrid w:val="0"/>
              <w:spacing w:line="400" w:lineRule="exact"/>
              <w:ind w:firstLine="480" w:firstLineChars="200"/>
              <w:rPr>
                <w:rFonts w:hint="eastAsia"/>
                <w:color w:val="auto"/>
                <w:highlight w:val="none"/>
              </w:rPr>
            </w:pPr>
            <w:r>
              <w:rPr>
                <w:rFonts w:hint="eastAsia"/>
                <w:color w:val="auto"/>
                <w:highlight w:val="none"/>
              </w:rPr>
              <w:t>二档（2-3分）：</w:t>
            </w:r>
            <w:r>
              <w:rPr>
                <w:rFonts w:hint="eastAsia" w:cs="Times New Roman"/>
                <w:color w:val="auto"/>
                <w:highlight w:val="none"/>
                <w:lang w:val="en-US" w:eastAsia="zh-CN"/>
              </w:rPr>
              <w:t>保险服务供应商</w:t>
            </w:r>
            <w:r>
              <w:rPr>
                <w:rFonts w:hint="eastAsia"/>
                <w:color w:val="auto"/>
                <w:highlight w:val="none"/>
              </w:rPr>
              <w:t>有明确的理赔必备材料清单及材料要求，在索赔材料齐全的情况下，线下票据报销的5个工作日内完成审核转账；</w:t>
            </w:r>
          </w:p>
          <w:p>
            <w:pPr>
              <w:keepNext/>
              <w:keepLines/>
              <w:adjustRightInd w:val="0"/>
              <w:snapToGrid w:val="0"/>
              <w:spacing w:line="400" w:lineRule="exact"/>
              <w:ind w:firstLine="480" w:firstLineChars="200"/>
              <w:rPr>
                <w:rFonts w:cs="Times New Roman"/>
                <w:color w:val="auto"/>
                <w:highlight w:val="none"/>
              </w:rPr>
            </w:pPr>
            <w:r>
              <w:rPr>
                <w:rFonts w:hint="eastAsia"/>
                <w:color w:val="auto"/>
                <w:highlight w:val="none"/>
              </w:rPr>
              <w:t>三档（4-5分）：</w:t>
            </w:r>
            <w:r>
              <w:rPr>
                <w:rFonts w:hint="eastAsia" w:cs="Times New Roman"/>
                <w:color w:val="auto"/>
                <w:highlight w:val="none"/>
                <w:lang w:val="en-US" w:eastAsia="zh-CN"/>
              </w:rPr>
              <w:t>保险服务供应商</w:t>
            </w:r>
            <w:r>
              <w:rPr>
                <w:rFonts w:hint="eastAsia"/>
                <w:color w:val="auto"/>
                <w:highlight w:val="none"/>
              </w:rPr>
              <w:t>有明确的理赔必备材料清单及材料要求，在索赔材料齐全的情况下，线下票据报销的3个工作日内完成审核转账。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093" w:type="dxa"/>
            <w:gridSpan w:val="3"/>
            <w:vAlign w:val="center"/>
          </w:tcPr>
          <w:p>
            <w:pPr>
              <w:snapToGrid w:val="0"/>
              <w:jc w:val="center"/>
              <w:rPr>
                <w:rFonts w:hint="eastAsia"/>
                <w:color w:val="auto"/>
                <w:highlight w:val="none"/>
              </w:rPr>
            </w:pPr>
            <w:r>
              <w:rPr>
                <w:rFonts w:hint="eastAsia"/>
                <w:color w:val="auto"/>
                <w:highlight w:val="none"/>
                <w:lang w:val="en-US" w:eastAsia="zh-CN"/>
              </w:rPr>
              <w:t>服务渠道</w:t>
            </w:r>
          </w:p>
        </w:tc>
        <w:tc>
          <w:tcPr>
            <w:tcW w:w="911" w:type="dxa"/>
            <w:vAlign w:val="center"/>
          </w:tcPr>
          <w:p>
            <w:pPr>
              <w:snapToGrid w:val="0"/>
              <w:jc w:val="center"/>
              <w:rPr>
                <w:color w:val="auto"/>
                <w:highlight w:val="none"/>
              </w:rPr>
            </w:pPr>
            <w:r>
              <w:rPr>
                <w:rFonts w:hint="eastAsia"/>
                <w:color w:val="auto"/>
                <w:highlight w:val="none"/>
                <w:lang w:val="en-US" w:eastAsia="zh-CN"/>
              </w:rPr>
              <w:t>10</w:t>
            </w:r>
          </w:p>
        </w:tc>
        <w:tc>
          <w:tcPr>
            <w:tcW w:w="6863" w:type="dxa"/>
            <w:vAlign w:val="center"/>
          </w:tcPr>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lang w:val="en-US" w:eastAsia="zh-CN"/>
              </w:rPr>
              <w:t>供应商</w:t>
            </w:r>
            <w:r>
              <w:rPr>
                <w:rFonts w:hint="eastAsia" w:cs="Times New Roman"/>
                <w:color w:val="auto"/>
                <w:highlight w:val="none"/>
              </w:rPr>
              <w:t>可提供预付卡（微信二维码、电子卡片或实物卡片等）支付渠道，预付卡的余额与员工个人账户余额联动，在签约医院或药店购药时不需要个人开具发票，由</w:t>
            </w:r>
            <w:r>
              <w:rPr>
                <w:rFonts w:hint="eastAsia" w:cs="Times New Roman"/>
                <w:color w:val="auto"/>
                <w:highlight w:val="none"/>
                <w:lang w:val="en-US" w:eastAsia="zh-CN"/>
              </w:rPr>
              <w:t>供应商</w:t>
            </w:r>
            <w:r>
              <w:rPr>
                <w:rFonts w:hint="eastAsia" w:cs="Times New Roman"/>
                <w:color w:val="auto"/>
                <w:highlight w:val="none"/>
              </w:rPr>
              <w:t>与医院或药店进行结算。</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一档（0-</w:t>
            </w:r>
            <w:r>
              <w:rPr>
                <w:rFonts w:hint="eastAsia" w:cs="Times New Roman"/>
                <w:color w:val="auto"/>
                <w:highlight w:val="none"/>
                <w:lang w:val="en-US" w:eastAsia="zh-CN"/>
              </w:rPr>
              <w:t>3</w:t>
            </w:r>
            <w:r>
              <w:rPr>
                <w:rFonts w:hint="eastAsia" w:cs="Times New Roman"/>
                <w:color w:val="auto"/>
                <w:highlight w:val="none"/>
              </w:rPr>
              <w:t>分）在全国及广西区内各地市可通过预付卡直接在签约医院或连锁药店进行支付。</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二档（</w:t>
            </w:r>
            <w:r>
              <w:rPr>
                <w:rFonts w:hint="eastAsia" w:cs="Times New Roman"/>
                <w:color w:val="auto"/>
                <w:highlight w:val="none"/>
                <w:lang w:val="en-US" w:eastAsia="zh-CN"/>
              </w:rPr>
              <w:t>4</w:t>
            </w:r>
            <w:r>
              <w:rPr>
                <w:rFonts w:hint="eastAsia" w:cs="Times New Roman"/>
                <w:color w:val="auto"/>
                <w:highlight w:val="none"/>
              </w:rPr>
              <w:t>-</w:t>
            </w:r>
            <w:r>
              <w:rPr>
                <w:rFonts w:hint="eastAsia" w:cs="Times New Roman"/>
                <w:color w:val="auto"/>
                <w:highlight w:val="none"/>
                <w:lang w:val="en-US" w:eastAsia="zh-CN"/>
              </w:rPr>
              <w:t>6</w:t>
            </w:r>
            <w:r>
              <w:rPr>
                <w:rFonts w:hint="eastAsia" w:cs="Times New Roman"/>
                <w:color w:val="auto"/>
                <w:highlight w:val="none"/>
              </w:rPr>
              <w:t>分）在全国及广西区内各地市可用预付卡支付的签约医院或连锁药店3000个以上（其中广西区内500个以上，南宁市100个以上）。</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三档（</w:t>
            </w:r>
            <w:r>
              <w:rPr>
                <w:rFonts w:hint="eastAsia" w:cs="Times New Roman"/>
                <w:color w:val="auto"/>
                <w:highlight w:val="none"/>
                <w:lang w:val="en-US" w:eastAsia="zh-CN"/>
              </w:rPr>
              <w:t>7-10</w:t>
            </w:r>
            <w:r>
              <w:rPr>
                <w:rFonts w:hint="eastAsia" w:cs="Times New Roman"/>
                <w:color w:val="auto"/>
                <w:highlight w:val="none"/>
              </w:rPr>
              <w:t>分）在全国及广西区内各地市可用预付卡支付的签约医院或连锁药店20000个以上（其中广西区内1000个以上，南宁市300个以上）。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093" w:type="dxa"/>
            <w:gridSpan w:val="3"/>
            <w:vAlign w:val="center"/>
          </w:tcPr>
          <w:p>
            <w:pPr>
              <w:snapToGrid w:val="0"/>
              <w:jc w:val="center"/>
              <w:rPr>
                <w:color w:val="auto"/>
                <w:highlight w:val="none"/>
              </w:rPr>
            </w:pPr>
            <w:r>
              <w:rPr>
                <w:rFonts w:hint="eastAsia"/>
                <w:color w:val="auto"/>
                <w:highlight w:val="none"/>
                <w:lang w:val="en-US" w:eastAsia="zh-CN"/>
              </w:rPr>
              <w:t>人员支持</w:t>
            </w:r>
          </w:p>
        </w:tc>
        <w:tc>
          <w:tcPr>
            <w:tcW w:w="911" w:type="dxa"/>
            <w:vAlign w:val="center"/>
          </w:tcPr>
          <w:p>
            <w:pPr>
              <w:snapToGrid w:val="0"/>
              <w:jc w:val="center"/>
              <w:rPr>
                <w:color w:val="auto"/>
                <w:highlight w:val="none"/>
              </w:rPr>
            </w:pPr>
            <w:r>
              <w:rPr>
                <w:rFonts w:hint="eastAsia"/>
                <w:color w:val="auto"/>
                <w:highlight w:val="none"/>
                <w:lang w:val="en-US" w:eastAsia="zh-CN"/>
              </w:rPr>
              <w:t>10</w:t>
            </w:r>
          </w:p>
        </w:tc>
        <w:tc>
          <w:tcPr>
            <w:tcW w:w="6863" w:type="dxa"/>
            <w:vAlign w:val="center"/>
          </w:tcPr>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根据</w:t>
            </w:r>
            <w:r>
              <w:rPr>
                <w:rFonts w:hint="eastAsia" w:cs="Times New Roman"/>
                <w:color w:val="auto"/>
                <w:highlight w:val="none"/>
                <w:lang w:val="en-US" w:eastAsia="zh-CN"/>
              </w:rPr>
              <w:t>供应商</w:t>
            </w:r>
            <w:r>
              <w:rPr>
                <w:rFonts w:hint="eastAsia" w:cs="Times New Roman"/>
                <w:color w:val="auto"/>
                <w:highlight w:val="none"/>
              </w:rPr>
              <w:t>提供的人员配置方案确定所属档次，按档次独立打分。</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一档（0-</w:t>
            </w:r>
            <w:r>
              <w:rPr>
                <w:rFonts w:hint="eastAsia" w:cs="Times New Roman"/>
                <w:color w:val="auto"/>
                <w:highlight w:val="none"/>
                <w:lang w:val="en-US" w:eastAsia="zh-CN"/>
              </w:rPr>
              <w:t>3</w:t>
            </w:r>
            <w:r>
              <w:rPr>
                <w:rFonts w:hint="eastAsia" w:cs="Times New Roman"/>
                <w:color w:val="auto"/>
                <w:highlight w:val="none"/>
              </w:rPr>
              <w:t>分）：能提供每月2次及以上的上门收取票据服务，服务地点仅限南宁市。</w:t>
            </w:r>
          </w:p>
          <w:p>
            <w:pPr>
              <w:keepNext/>
              <w:keepLines/>
              <w:adjustRightInd w:val="0"/>
              <w:snapToGrid w:val="0"/>
              <w:spacing w:line="400" w:lineRule="exact"/>
              <w:ind w:firstLine="480" w:firstLineChars="200"/>
              <w:rPr>
                <w:rFonts w:hint="eastAsia" w:cs="Times New Roman"/>
                <w:color w:val="auto"/>
                <w:highlight w:val="none"/>
              </w:rPr>
            </w:pPr>
            <w:r>
              <w:rPr>
                <w:rFonts w:hint="eastAsia" w:cs="Times New Roman"/>
                <w:color w:val="auto"/>
                <w:highlight w:val="none"/>
              </w:rPr>
              <w:t>二档（</w:t>
            </w:r>
            <w:r>
              <w:rPr>
                <w:rFonts w:hint="eastAsia" w:cs="Times New Roman"/>
                <w:color w:val="auto"/>
                <w:highlight w:val="none"/>
                <w:lang w:val="en-US" w:eastAsia="zh-CN"/>
              </w:rPr>
              <w:t>4-6</w:t>
            </w:r>
            <w:r>
              <w:rPr>
                <w:rFonts w:hint="eastAsia" w:cs="Times New Roman"/>
                <w:color w:val="auto"/>
                <w:highlight w:val="none"/>
              </w:rPr>
              <w:t>分）：能提供每月</w:t>
            </w:r>
            <w:r>
              <w:rPr>
                <w:rFonts w:hint="eastAsia" w:cs="Times New Roman"/>
                <w:color w:val="auto"/>
                <w:highlight w:val="none"/>
                <w:lang w:val="en-US" w:eastAsia="zh-CN"/>
              </w:rPr>
              <w:t>3</w:t>
            </w:r>
            <w:r>
              <w:rPr>
                <w:rFonts w:hint="eastAsia" w:cs="Times New Roman"/>
                <w:color w:val="auto"/>
                <w:highlight w:val="none"/>
              </w:rPr>
              <w:t>次及以上的上门收取票据服务，服务地点包括南宁、柳州、桂林、梧州、玉林、百色、河池、北海八个城市中的2-4个城市。</w:t>
            </w:r>
          </w:p>
          <w:p>
            <w:pPr>
              <w:keepNext/>
              <w:keepLines/>
              <w:adjustRightInd w:val="0"/>
              <w:snapToGrid w:val="0"/>
              <w:spacing w:line="400" w:lineRule="exact"/>
              <w:ind w:firstLine="480" w:firstLineChars="200"/>
              <w:rPr>
                <w:rFonts w:cs="Times New Roman"/>
                <w:color w:val="auto"/>
                <w:highlight w:val="none"/>
              </w:rPr>
            </w:pPr>
            <w:r>
              <w:rPr>
                <w:rFonts w:hint="eastAsia" w:cs="Times New Roman"/>
                <w:color w:val="auto"/>
                <w:highlight w:val="none"/>
              </w:rPr>
              <w:t>三档（</w:t>
            </w:r>
            <w:r>
              <w:rPr>
                <w:rFonts w:hint="eastAsia" w:cs="Times New Roman"/>
                <w:color w:val="auto"/>
                <w:highlight w:val="none"/>
                <w:lang w:val="en-US" w:eastAsia="zh-CN"/>
              </w:rPr>
              <w:t>7-10</w:t>
            </w:r>
            <w:bookmarkStart w:id="61" w:name="_GoBack"/>
            <w:bookmarkEnd w:id="61"/>
            <w:r>
              <w:rPr>
                <w:rFonts w:hint="eastAsia" w:cs="Times New Roman"/>
                <w:color w:val="auto"/>
                <w:highlight w:val="none"/>
              </w:rPr>
              <w:t>分）：能提供每月</w:t>
            </w:r>
            <w:r>
              <w:rPr>
                <w:rFonts w:hint="eastAsia" w:cs="Times New Roman"/>
                <w:color w:val="auto"/>
                <w:highlight w:val="none"/>
                <w:lang w:val="en-US" w:eastAsia="zh-CN"/>
              </w:rPr>
              <w:t>4</w:t>
            </w:r>
            <w:r>
              <w:rPr>
                <w:rFonts w:hint="eastAsia" w:cs="Times New Roman"/>
                <w:color w:val="auto"/>
                <w:highlight w:val="none"/>
              </w:rPr>
              <w:t>次及以上的上门收取票据服务，服务地点覆盖南宁、柳州、桂林、梧州、玉林、百色、河池、北海8个城市。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093" w:type="dxa"/>
            <w:gridSpan w:val="3"/>
            <w:vAlign w:val="center"/>
          </w:tcPr>
          <w:p>
            <w:pPr>
              <w:pStyle w:val="14"/>
              <w:jc w:val="center"/>
              <w:rPr>
                <w:rFonts w:hint="eastAsia" w:ascii="Times New Roman" w:hAnsi="Times New Roman" w:eastAsia="宋体" w:cs="Times New Roman"/>
                <w:color w:val="auto"/>
                <w:highlight w:val="none"/>
                <w:lang w:eastAsia="zh-CN"/>
              </w:rPr>
            </w:pPr>
            <w:r>
              <w:rPr>
                <w:rFonts w:hint="eastAsia"/>
                <w:color w:val="auto"/>
                <w:highlight w:val="none"/>
                <w:lang w:val="en-US" w:eastAsia="zh-CN"/>
              </w:rPr>
              <w:t>数据查询与技术支撑</w:t>
            </w:r>
          </w:p>
        </w:tc>
        <w:tc>
          <w:tcPr>
            <w:tcW w:w="911" w:type="dxa"/>
            <w:vAlign w:val="center"/>
          </w:tcPr>
          <w:p>
            <w:pPr>
              <w:pStyle w:val="14"/>
              <w:jc w:val="cente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10</w:t>
            </w:r>
          </w:p>
        </w:tc>
        <w:tc>
          <w:tcPr>
            <w:tcW w:w="6863" w:type="dxa"/>
            <w:vAlign w:val="center"/>
          </w:tcPr>
          <w:p>
            <w:pPr>
              <w:pStyle w:val="14"/>
              <w:rPr>
                <w:rFonts w:hint="eastAsia" w:hAnsi="宋体" w:cs="Times New Roman"/>
                <w:color w:val="auto"/>
                <w:highlight w:val="none"/>
              </w:rPr>
            </w:pPr>
            <w:r>
              <w:rPr>
                <w:rFonts w:hint="eastAsia" w:hAnsi="宋体" w:cs="Times New Roman"/>
                <w:color w:val="auto"/>
                <w:highlight w:val="none"/>
                <w:lang w:val="en-US" w:eastAsia="zh-CN"/>
              </w:rPr>
              <w:t xml:space="preserve">    </w:t>
            </w:r>
            <w:r>
              <w:rPr>
                <w:rFonts w:hint="eastAsia" w:hAnsi="宋体" w:cs="Times New Roman"/>
                <w:color w:val="auto"/>
                <w:highlight w:val="none"/>
              </w:rPr>
              <w:t>一档（0-3分）：无直接向采购人开放的服务系统平台，但可以按单位要求进行信息反馈及理赔操作的，可提供1-2次简单的现场培训及咨询服务。</w:t>
            </w:r>
          </w:p>
          <w:p>
            <w:pPr>
              <w:pStyle w:val="14"/>
              <w:rPr>
                <w:rFonts w:hint="eastAsia" w:hAnsi="宋体" w:cs="Times New Roman"/>
                <w:color w:val="auto"/>
                <w:highlight w:val="none"/>
              </w:rPr>
            </w:pPr>
            <w:r>
              <w:rPr>
                <w:rFonts w:hint="eastAsia" w:hAnsi="宋体" w:cs="Times New Roman"/>
                <w:color w:val="auto"/>
                <w:highlight w:val="none"/>
              </w:rPr>
              <w:t xml:space="preserve">    二档（4-6分）：开发有直接向采购人开放的互联网服务平台，单位能通过平台查询投保信息、投保名单及进行操作的，并可按单位要求提供赔付汇总信息，提供2次以上简单的现场培训及咨询服务，并提供一定培训资料。</w:t>
            </w:r>
          </w:p>
          <w:p>
            <w:pPr>
              <w:pStyle w:val="14"/>
              <w:rPr>
                <w:rFonts w:ascii="Times New Roman" w:hAnsi="Times New Roman" w:cs="Times New Roman"/>
                <w:color w:val="auto"/>
                <w:highlight w:val="none"/>
              </w:rPr>
            </w:pPr>
            <w:r>
              <w:rPr>
                <w:rFonts w:hint="eastAsia" w:hAnsi="宋体" w:cs="Times New Roman"/>
                <w:color w:val="auto"/>
                <w:highlight w:val="none"/>
              </w:rPr>
              <w:t xml:space="preserve">    三档（7-10分）：开发有直接向采购人和员工开放的互联网、APP、微信公众号或短信推送等服务平台，单位和员工个人均可通过在线服务实施查询个人信息、赔付进度、保障信息、账户余额、理赔信息等；同时支持如人员增减、个人信息变更等操作。可提供2次以上专家级培训司现场培训及咨询服务，并能提供一定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093" w:type="dxa"/>
            <w:gridSpan w:val="3"/>
            <w:vAlign w:val="center"/>
          </w:tcPr>
          <w:p>
            <w:pPr>
              <w:pStyle w:val="14"/>
              <w:jc w:val="center"/>
              <w:rPr>
                <w:rFonts w:hint="eastAsia"/>
                <w:color w:val="auto"/>
                <w:highlight w:val="none"/>
                <w:lang w:val="en-US" w:eastAsia="zh-CN"/>
              </w:rPr>
            </w:pPr>
            <w:r>
              <w:rPr>
                <w:rFonts w:hint="eastAsia"/>
                <w:color w:val="auto"/>
                <w:highlight w:val="none"/>
                <w:lang w:val="en-US" w:eastAsia="zh-CN"/>
              </w:rPr>
              <w:t>项目管理经验</w:t>
            </w:r>
          </w:p>
        </w:tc>
        <w:tc>
          <w:tcPr>
            <w:tcW w:w="911" w:type="dxa"/>
            <w:vAlign w:val="center"/>
          </w:tcPr>
          <w:p>
            <w:pPr>
              <w:pStyle w:val="14"/>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6863" w:type="dxa"/>
            <w:vAlign w:val="center"/>
          </w:tcPr>
          <w:p>
            <w:pPr>
              <w:pStyle w:val="14"/>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供应商</w:t>
            </w:r>
            <w:r>
              <w:rPr>
                <w:rFonts w:hint="eastAsia" w:ascii="Times New Roman" w:hAnsi="Times New Roman" w:cs="Times New Roman"/>
                <w:color w:val="auto"/>
                <w:highlight w:val="none"/>
              </w:rPr>
              <w:t>提供2019年度至今承办的银行业或自治区直企业补充医疗类承保业绩（要求是省级总行、总部的企业）的证明材料（可提供协议或合同的第一页和最后一页含双方盖章的证明材料复印件或中标通知书或投保单），提供一家单位的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2093" w:type="dxa"/>
            <w:gridSpan w:val="3"/>
            <w:vAlign w:val="center"/>
          </w:tcPr>
          <w:p>
            <w:pPr>
              <w:pStyle w:val="14"/>
              <w:jc w:val="center"/>
              <w:rPr>
                <w:rFonts w:hint="eastAsia"/>
                <w:color w:val="auto"/>
                <w:highlight w:val="none"/>
                <w:lang w:val="en-US" w:eastAsia="zh-CN"/>
              </w:rPr>
            </w:pPr>
            <w:r>
              <w:rPr>
                <w:rFonts w:hint="eastAsia"/>
                <w:color w:val="auto"/>
                <w:highlight w:val="none"/>
                <w:lang w:val="en-US" w:eastAsia="zh-CN"/>
              </w:rPr>
              <w:t>资质</w:t>
            </w:r>
          </w:p>
        </w:tc>
        <w:tc>
          <w:tcPr>
            <w:tcW w:w="911" w:type="dxa"/>
            <w:vAlign w:val="center"/>
          </w:tcPr>
          <w:p>
            <w:pPr>
              <w:pStyle w:val="14"/>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6863" w:type="dxa"/>
            <w:vAlign w:val="center"/>
          </w:tcPr>
          <w:p>
            <w:pPr>
              <w:pStyle w:val="14"/>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供应商</w:t>
            </w:r>
            <w:r>
              <w:rPr>
                <w:rFonts w:hint="eastAsia" w:ascii="Times New Roman" w:hAnsi="Times New Roman" w:cs="Times New Roman"/>
                <w:color w:val="auto"/>
                <w:highlight w:val="none"/>
              </w:rPr>
              <w:t>保险相关服务（保全、理赔、客服服务、数据、系统维护等）经过ISO9000系列国际质量体系认证（需提供相关证书等证明材料），得5分。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46" w:type="dxa"/>
            <w:vMerge w:val="restart"/>
            <w:vAlign w:val="center"/>
          </w:tcPr>
          <w:p>
            <w:pPr>
              <w:pStyle w:val="14"/>
              <w:jc w:val="center"/>
              <w:rPr>
                <w:rFonts w:hint="eastAsia"/>
                <w:color w:val="auto"/>
                <w:highlight w:val="none"/>
                <w:lang w:val="en-US" w:eastAsia="zh-CN"/>
              </w:rPr>
            </w:pPr>
            <w:r>
              <w:rPr>
                <w:rFonts w:hint="eastAsia"/>
                <w:color w:val="auto"/>
                <w:highlight w:val="none"/>
                <w:lang w:val="en-US" w:eastAsia="zh-CN"/>
              </w:rPr>
              <w:t>扩大保障范围</w:t>
            </w:r>
          </w:p>
        </w:tc>
        <w:tc>
          <w:tcPr>
            <w:tcW w:w="1047" w:type="dxa"/>
            <w:gridSpan w:val="2"/>
            <w:vAlign w:val="center"/>
          </w:tcPr>
          <w:p>
            <w:pPr>
              <w:pStyle w:val="14"/>
              <w:jc w:val="center"/>
              <w:rPr>
                <w:rFonts w:hint="eastAsia"/>
                <w:color w:val="auto"/>
                <w:highlight w:val="none"/>
                <w:lang w:val="en-US" w:eastAsia="zh-CN"/>
              </w:rPr>
            </w:pPr>
            <w:r>
              <w:rPr>
                <w:rFonts w:hint="eastAsia"/>
                <w:color w:val="auto"/>
                <w:highlight w:val="none"/>
                <w:lang w:val="en-US" w:eastAsia="zh-CN"/>
              </w:rPr>
              <w:t>增值项目</w:t>
            </w:r>
          </w:p>
        </w:tc>
        <w:tc>
          <w:tcPr>
            <w:tcW w:w="911" w:type="dxa"/>
            <w:vAlign w:val="center"/>
          </w:tcPr>
          <w:p>
            <w:pPr>
              <w:pStyle w:val="14"/>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6863" w:type="dxa"/>
            <w:vAlign w:val="center"/>
          </w:tcPr>
          <w:p>
            <w:pPr>
              <w:pStyle w:val="14"/>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rPr>
              <w:t>可安排重病、急病人员在国内或区内签约的三甲以上医院VIP预约挂号、安排住院等，符合投保单位需求的，每提供一项服务得1.5分，满分3分。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46" w:type="dxa"/>
            <w:vMerge w:val="continue"/>
            <w:vAlign w:val="center"/>
          </w:tcPr>
          <w:p>
            <w:pPr>
              <w:pStyle w:val="14"/>
              <w:jc w:val="center"/>
              <w:rPr>
                <w:rFonts w:hint="eastAsia"/>
                <w:color w:val="auto"/>
                <w:highlight w:val="none"/>
                <w:lang w:val="en-US" w:eastAsia="zh-CN"/>
              </w:rPr>
            </w:pPr>
          </w:p>
        </w:tc>
        <w:tc>
          <w:tcPr>
            <w:tcW w:w="1047" w:type="dxa"/>
            <w:gridSpan w:val="2"/>
            <w:vAlign w:val="center"/>
          </w:tcPr>
          <w:p>
            <w:pPr>
              <w:pStyle w:val="14"/>
              <w:jc w:val="center"/>
              <w:rPr>
                <w:rFonts w:hint="eastAsia"/>
                <w:color w:val="auto"/>
                <w:highlight w:val="none"/>
                <w:lang w:val="en-US" w:eastAsia="zh-CN"/>
              </w:rPr>
            </w:pPr>
            <w:r>
              <w:rPr>
                <w:rFonts w:hint="eastAsia"/>
                <w:color w:val="auto"/>
                <w:highlight w:val="none"/>
                <w:lang w:val="en-US" w:eastAsia="zh-CN"/>
              </w:rPr>
              <w:t>附赠意外险</w:t>
            </w:r>
          </w:p>
        </w:tc>
        <w:tc>
          <w:tcPr>
            <w:tcW w:w="911" w:type="dxa"/>
            <w:vAlign w:val="center"/>
          </w:tcPr>
          <w:p>
            <w:pPr>
              <w:pStyle w:val="14"/>
              <w:jc w:val="center"/>
              <w:rPr>
                <w:rFonts w:hint="eastAsia"/>
                <w:color w:val="auto"/>
                <w:highlight w:val="none"/>
                <w:lang w:val="en-US" w:eastAsia="zh-CN"/>
              </w:rPr>
            </w:pPr>
            <w:r>
              <w:rPr>
                <w:rFonts w:hint="eastAsia"/>
                <w:color w:val="auto"/>
                <w:highlight w:val="none"/>
                <w:lang w:val="en-US" w:eastAsia="zh-CN"/>
              </w:rPr>
              <w:t>7</w:t>
            </w:r>
          </w:p>
        </w:tc>
        <w:tc>
          <w:tcPr>
            <w:tcW w:w="6863" w:type="dxa"/>
            <w:vAlign w:val="center"/>
          </w:tcPr>
          <w:p>
            <w:pPr>
              <w:pStyle w:val="14"/>
              <w:jc w:val="left"/>
              <w:rPr>
                <w:rFonts w:hint="eastAsia"/>
                <w:color w:val="auto"/>
                <w:highlight w:val="none"/>
                <w:lang w:val="en-US" w:eastAsia="zh-CN"/>
              </w:rPr>
            </w:pPr>
            <w:r>
              <w:rPr>
                <w:rFonts w:hint="eastAsia"/>
                <w:color w:val="auto"/>
                <w:highlight w:val="none"/>
                <w:lang w:val="en-US" w:eastAsia="zh-CN"/>
              </w:rPr>
              <w:t xml:space="preserve">    </w:t>
            </w:r>
            <w:r>
              <w:rPr>
                <w:rFonts w:hint="eastAsia"/>
                <w:color w:val="auto"/>
                <w:highlight w:val="none"/>
              </w:rPr>
              <w:t>合同期内附赠采购人现行的同等条件的员工意外伤害险的（意外伤害身故保险金额50万元/人、意外伤害残疾最高保险金额50万元/人、意外伤害医疗费用最高保险金额10万元/人、意外伤害住院津贴每天200元/人），得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93" w:type="dxa"/>
            <w:gridSpan w:val="3"/>
            <w:vAlign w:val="center"/>
          </w:tcPr>
          <w:p>
            <w:pPr>
              <w:pStyle w:val="14"/>
              <w:jc w:val="center"/>
              <w:rPr>
                <w:rFonts w:hint="eastAsia"/>
                <w:color w:val="auto"/>
                <w:highlight w:val="none"/>
                <w:lang w:val="en-US" w:eastAsia="zh-CN"/>
              </w:rPr>
            </w:pPr>
            <w:r>
              <w:rPr>
                <w:rFonts w:hint="eastAsia"/>
                <w:color w:val="auto"/>
                <w:highlight w:val="none"/>
                <w:lang w:val="en-US" w:eastAsia="zh-CN"/>
              </w:rPr>
              <w:t>增值服务</w:t>
            </w:r>
          </w:p>
        </w:tc>
        <w:tc>
          <w:tcPr>
            <w:tcW w:w="911" w:type="dxa"/>
            <w:vAlign w:val="center"/>
          </w:tcPr>
          <w:p>
            <w:pPr>
              <w:pStyle w:val="14"/>
              <w:jc w:val="center"/>
              <w:rPr>
                <w:rFonts w:hint="eastAsia"/>
                <w:color w:val="auto"/>
                <w:highlight w:val="none"/>
                <w:lang w:val="en-US" w:eastAsia="zh-CN"/>
              </w:rPr>
            </w:pPr>
            <w:r>
              <w:rPr>
                <w:rFonts w:hint="eastAsia"/>
                <w:color w:val="auto"/>
                <w:highlight w:val="none"/>
                <w:lang w:val="en-US" w:eastAsia="zh-CN"/>
              </w:rPr>
              <w:t>5</w:t>
            </w:r>
          </w:p>
        </w:tc>
        <w:tc>
          <w:tcPr>
            <w:tcW w:w="6863" w:type="dxa"/>
            <w:vAlign w:val="center"/>
          </w:tcPr>
          <w:p>
            <w:pPr>
              <w:pStyle w:val="14"/>
              <w:jc w:val="left"/>
              <w:rPr>
                <w:rFonts w:hint="eastAsia"/>
                <w:color w:val="auto"/>
                <w:highlight w:val="none"/>
              </w:rPr>
            </w:pPr>
            <w:r>
              <w:rPr>
                <w:rFonts w:hint="eastAsia"/>
                <w:color w:val="auto"/>
                <w:highlight w:val="none"/>
                <w:lang w:val="en-US" w:eastAsia="zh-CN"/>
              </w:rPr>
              <w:t xml:space="preserve">    </w:t>
            </w:r>
            <w:r>
              <w:rPr>
                <w:rFonts w:hint="eastAsia"/>
                <w:color w:val="auto"/>
                <w:highlight w:val="none"/>
              </w:rPr>
              <w:t>一档（0分）：未提供</w:t>
            </w:r>
            <w:r>
              <w:rPr>
                <w:rFonts w:hint="eastAsia"/>
                <w:color w:val="auto"/>
                <w:highlight w:val="none"/>
                <w:lang w:val="en-US" w:eastAsia="zh-CN"/>
              </w:rPr>
              <w:t>为员工个人或单位同业合作</w:t>
            </w:r>
            <w:r>
              <w:rPr>
                <w:rFonts w:hint="eastAsia"/>
                <w:color w:val="auto"/>
                <w:highlight w:val="none"/>
              </w:rPr>
              <w:t>增值服务的。</w:t>
            </w:r>
          </w:p>
          <w:p>
            <w:pPr>
              <w:pStyle w:val="14"/>
              <w:jc w:val="left"/>
              <w:rPr>
                <w:rFonts w:hint="eastAsia"/>
                <w:color w:val="auto"/>
                <w:highlight w:val="none"/>
              </w:rPr>
            </w:pPr>
            <w:r>
              <w:rPr>
                <w:rFonts w:hint="eastAsia"/>
                <w:color w:val="auto"/>
                <w:highlight w:val="none"/>
              </w:rPr>
              <w:t xml:space="preserve">    二档（1-2分）：针对本项目制定有</w:t>
            </w:r>
            <w:r>
              <w:rPr>
                <w:rFonts w:hint="eastAsia"/>
                <w:color w:val="auto"/>
                <w:highlight w:val="none"/>
                <w:lang w:val="en-US" w:eastAsia="zh-CN"/>
              </w:rPr>
              <w:t>为员工个人或单位同业合作</w:t>
            </w:r>
            <w:r>
              <w:rPr>
                <w:rFonts w:hint="eastAsia"/>
                <w:color w:val="auto"/>
                <w:highlight w:val="none"/>
              </w:rPr>
              <w:t>增值服务或创新性、便捷性服务，服务项目增设合理、符合需求并且切实可行，一般的。</w:t>
            </w:r>
          </w:p>
          <w:p>
            <w:pPr>
              <w:pStyle w:val="14"/>
              <w:jc w:val="left"/>
              <w:rPr>
                <w:rFonts w:hint="eastAsia"/>
                <w:color w:val="auto"/>
                <w:highlight w:val="none"/>
                <w:lang w:val="en-US" w:eastAsia="zh-CN"/>
              </w:rPr>
            </w:pPr>
            <w:r>
              <w:rPr>
                <w:rFonts w:hint="eastAsia"/>
                <w:color w:val="auto"/>
                <w:highlight w:val="none"/>
              </w:rPr>
              <w:t xml:space="preserve">    三档（3-5分）：针对本项目制定有</w:t>
            </w:r>
            <w:r>
              <w:rPr>
                <w:rFonts w:hint="eastAsia"/>
                <w:color w:val="auto"/>
                <w:highlight w:val="none"/>
                <w:lang w:val="en-US" w:eastAsia="zh-CN"/>
              </w:rPr>
              <w:t>为员工个人或单位同业合作</w:t>
            </w:r>
            <w:r>
              <w:rPr>
                <w:rFonts w:hint="eastAsia"/>
                <w:color w:val="auto"/>
                <w:highlight w:val="none"/>
              </w:rPr>
              <w:t>增值服务或创新性、便捷性服务，服务项目增设合理、符合需求并且切实可行，较好的。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093" w:type="dxa"/>
            <w:gridSpan w:val="3"/>
            <w:vAlign w:val="center"/>
          </w:tcPr>
          <w:p>
            <w:pPr>
              <w:pStyle w:val="14"/>
              <w:jc w:val="center"/>
              <w:rPr>
                <w:rFonts w:hint="eastAsia"/>
                <w:color w:val="auto"/>
                <w:highlight w:val="none"/>
                <w:lang w:val="en-US" w:eastAsia="zh-CN"/>
              </w:rPr>
            </w:pPr>
            <w:r>
              <w:rPr>
                <w:rFonts w:hint="eastAsia"/>
                <w:color w:val="auto"/>
                <w:highlight w:val="none"/>
                <w:lang w:val="en-US" w:eastAsia="zh-CN"/>
              </w:rPr>
              <w:t>满分</w:t>
            </w:r>
          </w:p>
        </w:tc>
        <w:tc>
          <w:tcPr>
            <w:tcW w:w="911" w:type="dxa"/>
            <w:vAlign w:val="center"/>
          </w:tcPr>
          <w:p>
            <w:pPr>
              <w:pStyle w:val="14"/>
              <w:jc w:val="center"/>
              <w:rPr>
                <w:rFonts w:hint="eastAsia"/>
                <w:color w:val="auto"/>
                <w:highlight w:val="none"/>
                <w:lang w:val="en-US" w:eastAsia="zh-CN"/>
              </w:rPr>
            </w:pPr>
            <w:r>
              <w:rPr>
                <w:rFonts w:hint="eastAsia"/>
                <w:color w:val="auto"/>
                <w:highlight w:val="none"/>
                <w:lang w:val="en-US" w:eastAsia="zh-CN"/>
              </w:rPr>
              <w:t>115</w:t>
            </w:r>
          </w:p>
        </w:tc>
        <w:tc>
          <w:tcPr>
            <w:tcW w:w="6863" w:type="dxa"/>
            <w:vAlign w:val="center"/>
          </w:tcPr>
          <w:p>
            <w:pPr>
              <w:pStyle w:val="14"/>
              <w:jc w:val="center"/>
              <w:rPr>
                <w:rFonts w:hint="eastAsia"/>
                <w:color w:val="auto"/>
                <w:highlight w:val="none"/>
                <w:lang w:val="en-US" w:eastAsia="zh-CN"/>
              </w:rPr>
            </w:pPr>
            <w:r>
              <w:rPr>
                <w:rFonts w:hint="eastAsia"/>
                <w:color w:val="auto"/>
                <w:highlight w:val="none"/>
              </w:rPr>
              <w:t>百分制得分+增值服务得分</w:t>
            </w:r>
          </w:p>
        </w:tc>
      </w:tr>
    </w:tbl>
    <w:p>
      <w:pPr>
        <w:keepNext/>
        <w:keepLines/>
        <w:adjustRightInd w:val="0"/>
        <w:snapToGrid w:val="0"/>
        <w:spacing w:line="400" w:lineRule="exact"/>
        <w:ind w:firstLine="482" w:firstLineChars="200"/>
        <w:rPr>
          <w:rFonts w:cs="Times New Roman"/>
          <w:b/>
          <w:color w:val="auto"/>
          <w:highlight w:val="none"/>
        </w:rPr>
      </w:pPr>
      <w:r>
        <w:rPr>
          <w:rFonts w:hint="eastAsia" w:cs="Times New Roman"/>
          <w:b/>
          <w:color w:val="auto"/>
          <w:highlight w:val="none"/>
        </w:rPr>
        <w:t>四、</w:t>
      </w:r>
      <w:r>
        <w:rPr>
          <w:rFonts w:hint="eastAsia" w:cs="Times New Roman"/>
          <w:b/>
          <w:color w:val="auto"/>
          <w:highlight w:val="none"/>
          <w:lang w:val="en-US" w:eastAsia="zh-CN"/>
        </w:rPr>
        <w:t>成交</w:t>
      </w:r>
      <w:r>
        <w:rPr>
          <w:rFonts w:hint="eastAsia" w:cs="Times New Roman"/>
          <w:b/>
          <w:color w:val="auto"/>
          <w:highlight w:val="none"/>
        </w:rPr>
        <w:t>供应商推荐原则</w:t>
      </w:r>
      <w:bookmarkEnd w:id="41"/>
    </w:p>
    <w:p>
      <w:pPr>
        <w:keepNext/>
        <w:keepLines/>
        <w:adjustRightInd w:val="0"/>
        <w:snapToGrid w:val="0"/>
        <w:spacing w:line="400" w:lineRule="exact"/>
        <w:ind w:firstLine="480" w:firstLineChars="200"/>
        <w:rPr>
          <w:rFonts w:cs="Times New Roman"/>
          <w:b/>
          <w:color w:val="auto"/>
          <w:highlight w:val="none"/>
        </w:rPr>
      </w:pPr>
      <w:r>
        <w:rPr>
          <w:rFonts w:hint="eastAsia" w:cs="Times New Roman"/>
          <w:color w:val="auto"/>
          <w:highlight w:val="none"/>
        </w:rPr>
        <w:t>磋商小组将根据综合得分由高到低排列次序（得分相同时，按报价由低到高顺序排列；得分相同且报价相同的并列）推荐前两名为候选供应商，得分最高者为成交供应商，第二名为</w:t>
      </w:r>
      <w:r>
        <w:rPr>
          <w:rFonts w:hint="eastAsia" w:cs="Times New Roman"/>
          <w:color w:val="auto"/>
          <w:highlight w:val="none"/>
          <w:lang w:val="en-US" w:eastAsia="zh-CN"/>
        </w:rPr>
        <w:t>备选</w:t>
      </w:r>
      <w:r>
        <w:rPr>
          <w:rFonts w:hint="eastAsia" w:cs="Times New Roman"/>
          <w:color w:val="auto"/>
          <w:highlight w:val="none"/>
        </w:rPr>
        <w:t>供应商。</w:t>
      </w:r>
    </w:p>
    <w:p>
      <w:pPr>
        <w:keepNext/>
        <w:keepLines/>
        <w:spacing w:line="440" w:lineRule="exact"/>
        <w:ind w:firstLine="482" w:firstLineChars="200"/>
        <w:jc w:val="center"/>
        <w:rPr>
          <w:rFonts w:cs="Times New Roman"/>
          <w:b/>
          <w:color w:val="auto"/>
          <w:highlight w:val="none"/>
        </w:rPr>
      </w:pPr>
    </w:p>
    <w:p>
      <w:pPr>
        <w:autoSpaceDE w:val="0"/>
        <w:autoSpaceDN w:val="0"/>
        <w:spacing w:line="480" w:lineRule="exact"/>
        <w:jc w:val="center"/>
        <w:textAlignment w:val="bottom"/>
        <w:rPr>
          <w:rFonts w:ascii="Times New Roman" w:hAnsi="Times New Roman" w:cs="Times New Roman"/>
          <w:b/>
          <w:bCs/>
          <w:color w:val="auto"/>
          <w:sz w:val="36"/>
          <w:szCs w:val="36"/>
          <w:highlight w:val="none"/>
        </w:rPr>
      </w:pPr>
    </w:p>
    <w:p>
      <w:pPr>
        <w:autoSpaceDE w:val="0"/>
        <w:autoSpaceDN w:val="0"/>
        <w:spacing w:line="480" w:lineRule="exact"/>
        <w:jc w:val="center"/>
        <w:textAlignment w:val="bottom"/>
        <w:rPr>
          <w:rFonts w:ascii="方正小标宋简体" w:hAnsi="Times New Roman" w:eastAsia="方正小标宋简体" w:cs="Times New Roman"/>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pStyle w:val="12"/>
        <w:rPr>
          <w:rFonts w:ascii="方正小标宋简体" w:eastAsia="方正小标宋简体"/>
          <w:bCs/>
          <w:color w:val="auto"/>
          <w:sz w:val="36"/>
          <w:szCs w:val="36"/>
          <w:highlight w:val="none"/>
        </w:rPr>
      </w:pPr>
    </w:p>
    <w:p>
      <w:pPr>
        <w:autoSpaceDE w:val="0"/>
        <w:autoSpaceDN w:val="0"/>
        <w:jc w:val="center"/>
        <w:textAlignment w:val="bottom"/>
        <w:rPr>
          <w:rFonts w:ascii="方正小标宋简体" w:hAnsi="Times New Roman" w:eastAsia="方正小标宋简体" w:cs="Times New Roman"/>
          <w:bCs/>
          <w:color w:val="auto"/>
          <w:sz w:val="44"/>
          <w:szCs w:val="44"/>
          <w:highlight w:val="none"/>
        </w:rPr>
      </w:pPr>
      <w:r>
        <w:rPr>
          <w:rFonts w:hint="eastAsia" w:ascii="方正小标宋简体" w:hAnsi="Times New Roman" w:eastAsia="方正小标宋简体" w:cs="Times New Roman"/>
          <w:bCs/>
          <w:color w:val="auto"/>
          <w:sz w:val="44"/>
          <w:szCs w:val="44"/>
          <w:highlight w:val="none"/>
        </w:rPr>
        <w:t xml:space="preserve">第六部分   </w:t>
      </w:r>
      <w:r>
        <w:rPr>
          <w:rFonts w:hint="eastAsia" w:ascii="方正小标宋简体" w:hAnsi="Times New Roman" w:eastAsia="方正小标宋简体" w:cs="Times New Roman"/>
          <w:color w:val="auto"/>
          <w:kern w:val="44"/>
          <w:sz w:val="44"/>
          <w:szCs w:val="44"/>
          <w:highlight w:val="none"/>
          <w:lang w:val="zh-CN"/>
        </w:rPr>
        <w:t>响应文件格式</w:t>
      </w:r>
    </w:p>
    <w:p>
      <w:pPr>
        <w:autoSpaceDE w:val="0"/>
        <w:autoSpaceDN w:val="0"/>
        <w:spacing w:line="480" w:lineRule="exact"/>
        <w:jc w:val="center"/>
        <w:textAlignment w:val="bottom"/>
        <w:rPr>
          <w:rFonts w:ascii="方正小标宋简体" w:hAnsi="Times New Roman" w:eastAsia="方正小标宋简体" w:cs="Times New Roman"/>
          <w:bCs/>
          <w:color w:val="auto"/>
          <w:sz w:val="36"/>
          <w:szCs w:val="36"/>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spacing w:line="360" w:lineRule="auto"/>
        <w:jc w:val="center"/>
        <w:rPr>
          <w:rFonts w:ascii="Times New Roman" w:hAnsi="Times New Roman" w:cs="Times New Roman"/>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pStyle w:val="12"/>
        <w:rPr>
          <w:b/>
          <w:color w:val="auto"/>
          <w:sz w:val="32"/>
          <w:szCs w:val="32"/>
          <w:highlight w:val="none"/>
        </w:rPr>
      </w:pPr>
    </w:p>
    <w:p>
      <w:pPr>
        <w:keepNext/>
        <w:keepLines/>
        <w:jc w:val="center"/>
        <w:rPr>
          <w:rFonts w:ascii="方正小标宋简体" w:eastAsia="方正小标宋简体" w:cs="Times New Roman"/>
          <w:color w:val="auto"/>
          <w:kern w:val="10"/>
          <w:sz w:val="44"/>
          <w:szCs w:val="44"/>
          <w:highlight w:val="none"/>
        </w:rPr>
      </w:pPr>
      <w:bookmarkStart w:id="42" w:name="_Toc103773610"/>
      <w:bookmarkStart w:id="43" w:name="_Toc103774357"/>
      <w:bookmarkStart w:id="44" w:name="_Toc103773936"/>
      <w:bookmarkStart w:id="45" w:name="_Toc103951157"/>
      <w:bookmarkStart w:id="46" w:name="_Toc103774061"/>
      <w:bookmarkStart w:id="47" w:name="_Toc103951418"/>
      <w:r>
        <w:rPr>
          <w:rFonts w:hint="eastAsia" w:ascii="方正小标宋简体" w:eastAsia="方正小标宋简体" w:cs="Times New Roman"/>
          <w:color w:val="auto"/>
          <w:kern w:val="10"/>
          <w:sz w:val="44"/>
          <w:szCs w:val="44"/>
          <w:highlight w:val="none"/>
        </w:rPr>
        <w:t>一、</w:t>
      </w:r>
      <w:bookmarkEnd w:id="42"/>
      <w:bookmarkEnd w:id="43"/>
      <w:bookmarkEnd w:id="44"/>
      <w:bookmarkEnd w:id="45"/>
      <w:bookmarkEnd w:id="46"/>
      <w:bookmarkEnd w:id="47"/>
      <w:r>
        <w:rPr>
          <w:rFonts w:hint="eastAsia" w:ascii="方正小标宋简体" w:eastAsia="方正小标宋简体" w:cs="Times New Roman"/>
          <w:color w:val="auto"/>
          <w:kern w:val="10"/>
          <w:sz w:val="44"/>
          <w:szCs w:val="44"/>
          <w:highlight w:val="none"/>
        </w:rPr>
        <w:t>磋商响应函</w:t>
      </w:r>
    </w:p>
    <w:p>
      <w:pPr>
        <w:kinsoku w:val="0"/>
        <w:overflowPunct w:val="0"/>
        <w:rPr>
          <w:b/>
          <w:bCs/>
          <w:color w:val="auto"/>
          <w:sz w:val="20"/>
          <w:szCs w:val="20"/>
          <w:highlight w:val="none"/>
        </w:rPr>
      </w:pPr>
    </w:p>
    <w:p>
      <w:pPr>
        <w:tabs>
          <w:tab w:val="left" w:pos="1991"/>
        </w:tabs>
        <w:kinsoku w:val="0"/>
        <w:overflowPunct w:val="0"/>
        <w:spacing w:line="560" w:lineRule="exact"/>
        <w:ind w:right="113"/>
        <w:rPr>
          <w:rFonts w:asciiTheme="minorEastAsia" w:hAnsiTheme="minorEastAsia" w:cstheme="minorEastAsia"/>
          <w:color w:val="auto"/>
          <w:spacing w:val="-15"/>
          <w:sz w:val="28"/>
          <w:szCs w:val="28"/>
          <w:highlight w:val="none"/>
        </w:rPr>
      </w:pP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u w:val="single"/>
        </w:rPr>
        <w:tab/>
      </w:r>
      <w:r>
        <w:rPr>
          <w:rFonts w:hint="eastAsia" w:asciiTheme="minorEastAsia" w:hAnsiTheme="minorEastAsia" w:cstheme="minorEastAsia"/>
          <w:color w:val="auto"/>
          <w:spacing w:val="-15"/>
          <w:sz w:val="28"/>
          <w:szCs w:val="28"/>
          <w:highlight w:val="none"/>
        </w:rPr>
        <w:t>（采购人名称）：</w:t>
      </w:r>
    </w:p>
    <w:p>
      <w:pPr>
        <w:kinsoku w:val="0"/>
        <w:overflowPunct w:val="0"/>
        <w:spacing w:line="560" w:lineRule="exact"/>
        <w:ind w:left="420"/>
        <w:rPr>
          <w:rFonts w:asciiTheme="minorEastAsia" w:hAnsiTheme="minorEastAsia" w:cstheme="minorEastAsia"/>
          <w:color w:val="auto"/>
          <w:sz w:val="28"/>
          <w:szCs w:val="28"/>
          <w:highlight w:val="none"/>
        </w:rPr>
      </w:pPr>
    </w:p>
    <w:p>
      <w:pPr>
        <w:tabs>
          <w:tab w:val="left" w:pos="6254"/>
        </w:tabs>
        <w:kinsoku w:val="0"/>
        <w:overflowPunct w:val="0"/>
        <w:spacing w:line="560" w:lineRule="exact"/>
        <w:ind w:right="113" w:firstLine="419"/>
        <w:rPr>
          <w:rFonts w:asciiTheme="minorEastAsia" w:hAnsiTheme="minorEastAsia" w:cstheme="minorEastAsia"/>
          <w:color w:val="auto"/>
          <w:spacing w:val="-5"/>
          <w:sz w:val="28"/>
          <w:szCs w:val="28"/>
          <w:highlight w:val="none"/>
        </w:rPr>
      </w:pPr>
      <w:r>
        <w:rPr>
          <w:rFonts w:hint="eastAsia" w:asciiTheme="minorEastAsia" w:hAnsiTheme="minorEastAsia" w:cstheme="minorEastAsia"/>
          <w:color w:val="auto"/>
          <w:spacing w:val="-4"/>
          <w:sz w:val="28"/>
          <w:szCs w:val="28"/>
          <w:highlight w:val="none"/>
        </w:rPr>
        <w:t>1．我方已仔细研究了</w:t>
      </w:r>
      <w:r>
        <w:rPr>
          <w:rFonts w:hint="eastAsia" w:asciiTheme="minorEastAsia" w:hAnsiTheme="minorEastAsia" w:cstheme="minorEastAsia"/>
          <w:color w:val="auto"/>
          <w:spacing w:val="-4"/>
          <w:sz w:val="28"/>
          <w:szCs w:val="28"/>
          <w:highlight w:val="none"/>
          <w:u w:val="single"/>
        </w:rPr>
        <w:tab/>
      </w:r>
      <w:r>
        <w:rPr>
          <w:rFonts w:hint="eastAsia" w:asciiTheme="minorEastAsia" w:hAnsiTheme="minorEastAsia" w:cstheme="minorEastAsia"/>
          <w:color w:val="auto"/>
          <w:spacing w:val="-3"/>
          <w:sz w:val="28"/>
          <w:szCs w:val="28"/>
          <w:highlight w:val="none"/>
        </w:rPr>
        <w:t>（项目名称）服务采购项目磋商文件的全部</w:t>
      </w:r>
      <w:r>
        <w:rPr>
          <w:rFonts w:hint="eastAsia" w:asciiTheme="minorEastAsia" w:hAnsiTheme="minorEastAsia" w:cstheme="minorEastAsia"/>
          <w:color w:val="auto"/>
          <w:spacing w:val="-4"/>
          <w:sz w:val="28"/>
          <w:szCs w:val="28"/>
          <w:highlight w:val="none"/>
        </w:rPr>
        <w:t xml:space="preserve">内容，愿意以管理费率 </w:t>
      </w:r>
      <w:r>
        <w:rPr>
          <w:rFonts w:hint="eastAsia" w:asciiTheme="minorEastAsia" w:hAnsiTheme="minorEastAsia" w:cstheme="minorEastAsia"/>
          <w:color w:val="auto"/>
          <w:spacing w:val="-4"/>
          <w:sz w:val="28"/>
          <w:szCs w:val="28"/>
          <w:highlight w:val="none"/>
          <w:u w:val="single"/>
        </w:rPr>
        <w:t xml:space="preserve">                  </w:t>
      </w:r>
      <w:r>
        <w:rPr>
          <w:rFonts w:hint="eastAsia" w:asciiTheme="minorEastAsia" w:hAnsiTheme="minorEastAsia" w:cstheme="minorEastAsia"/>
          <w:color w:val="auto"/>
          <w:spacing w:val="-4"/>
          <w:sz w:val="28"/>
          <w:szCs w:val="28"/>
          <w:highlight w:val="none"/>
        </w:rPr>
        <w:t xml:space="preserve"> 的报价提供本项目</w:t>
      </w:r>
      <w:r>
        <w:rPr>
          <w:rFonts w:hint="eastAsia" w:asciiTheme="minorEastAsia" w:hAnsiTheme="minorEastAsia" w:cstheme="minorEastAsia"/>
          <w:color w:val="auto"/>
          <w:spacing w:val="-3"/>
          <w:sz w:val="28"/>
          <w:szCs w:val="28"/>
          <w:highlight w:val="none"/>
          <w:u w:val="single"/>
        </w:rPr>
        <w:t xml:space="preserve">      </w:t>
      </w:r>
      <w:r>
        <w:rPr>
          <w:rFonts w:hint="eastAsia" w:asciiTheme="minorEastAsia" w:hAnsiTheme="minorEastAsia" w:cstheme="minorEastAsia"/>
          <w:color w:val="auto"/>
          <w:spacing w:val="-4"/>
          <w:sz w:val="28"/>
          <w:szCs w:val="28"/>
          <w:highlight w:val="none"/>
        </w:rPr>
        <w:t>服务</w:t>
      </w:r>
      <w:r>
        <w:rPr>
          <w:rFonts w:hint="eastAsia" w:asciiTheme="minorEastAsia" w:hAnsiTheme="minorEastAsia" w:cstheme="minorEastAsia"/>
          <w:color w:val="auto"/>
          <w:spacing w:val="-4"/>
          <w:sz w:val="28"/>
          <w:szCs w:val="28"/>
          <w:highlight w:val="none"/>
          <w:lang w:eastAsia="zh-CN"/>
        </w:rPr>
        <w:t>，</w:t>
      </w:r>
      <w:r>
        <w:rPr>
          <w:rFonts w:hint="eastAsia" w:asciiTheme="minorEastAsia" w:hAnsiTheme="minorEastAsia" w:cstheme="minorEastAsia"/>
          <w:color w:val="auto"/>
          <w:spacing w:val="-4"/>
          <w:sz w:val="28"/>
          <w:szCs w:val="28"/>
          <w:highlight w:val="none"/>
        </w:rPr>
        <w:t>并按合同约定履行义务。</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w:t>
      </w:r>
      <w:r>
        <w:rPr>
          <w:rFonts w:hint="eastAsia" w:asciiTheme="minorEastAsia" w:hAnsiTheme="minorEastAsia" w:cstheme="minorEastAsia"/>
          <w:color w:val="auto"/>
          <w:spacing w:val="49"/>
          <w:sz w:val="28"/>
          <w:szCs w:val="28"/>
          <w:highlight w:val="none"/>
        </w:rPr>
        <w:t xml:space="preserve"> </w:t>
      </w:r>
      <w:r>
        <w:rPr>
          <w:rFonts w:hint="eastAsia" w:asciiTheme="minorEastAsia" w:hAnsiTheme="minorEastAsia" w:cstheme="minorEastAsia"/>
          <w:color w:val="auto"/>
          <w:sz w:val="28"/>
          <w:szCs w:val="28"/>
          <w:highlight w:val="none"/>
        </w:rPr>
        <w:t>我方的响应文件包括下列内容：</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（1）磋商响应函</w:t>
      </w:r>
    </w:p>
    <w:p>
      <w:pPr>
        <w:kinsoku w:val="0"/>
        <w:overflowPunct w:val="0"/>
        <w:spacing w:line="560" w:lineRule="exact"/>
        <w:ind w:left="420" w:right="113"/>
        <w:rPr>
          <w:rFonts w:asciiTheme="minorEastAsia" w:hAnsiTheme="minorEastAsia" w:cstheme="minorEastAsia"/>
          <w:color w:val="auto"/>
          <w:spacing w:val="-2"/>
          <w:sz w:val="28"/>
          <w:szCs w:val="28"/>
          <w:highlight w:val="none"/>
        </w:rPr>
      </w:pPr>
      <w:r>
        <w:rPr>
          <w:rFonts w:hint="eastAsia" w:asciiTheme="minorEastAsia" w:hAnsiTheme="minorEastAsia" w:cstheme="minorEastAsia"/>
          <w:color w:val="auto"/>
          <w:sz w:val="28"/>
          <w:szCs w:val="28"/>
          <w:highlight w:val="none"/>
        </w:rPr>
        <w:t>（2）法定代表人（单位负责人）身份证明</w:t>
      </w:r>
      <w:r>
        <w:rPr>
          <w:rFonts w:hint="eastAsia" w:asciiTheme="minorEastAsia" w:hAnsiTheme="minorEastAsia" w:cstheme="minorEastAsia"/>
          <w:color w:val="auto"/>
          <w:spacing w:val="-2"/>
          <w:sz w:val="28"/>
          <w:szCs w:val="28"/>
          <w:highlight w:val="none"/>
        </w:rPr>
        <w:t>（适用于无委托代理人的情况）</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（3）授权委托书（适用于有委托代理人的情况）</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（4）报价函</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（5）报价表</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（6）保险服务供应商基本情况</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（7）</w:t>
      </w:r>
      <w:r>
        <w:rPr>
          <w:rFonts w:hint="eastAsia" w:asciiTheme="minorEastAsia" w:hAnsiTheme="minorEastAsia" w:cstheme="minorEastAsia"/>
          <w:color w:val="auto"/>
          <w:sz w:val="28"/>
          <w:szCs w:val="28"/>
          <w:highlight w:val="none"/>
          <w:lang w:val="en-US" w:eastAsia="zh-CN"/>
        </w:rPr>
        <w:t>服务</w:t>
      </w:r>
      <w:r>
        <w:rPr>
          <w:rFonts w:hint="eastAsia" w:asciiTheme="minorEastAsia" w:hAnsiTheme="minorEastAsia" w:cstheme="minorEastAsia"/>
          <w:color w:val="auto"/>
          <w:sz w:val="28"/>
          <w:szCs w:val="28"/>
          <w:highlight w:val="none"/>
        </w:rPr>
        <w:t>方案</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（8）服务承诺</w:t>
      </w:r>
    </w:p>
    <w:p>
      <w:pPr>
        <w:kinsoku w:val="0"/>
        <w:overflowPunct w:val="0"/>
        <w:spacing w:line="560" w:lineRule="exact"/>
        <w:ind w:left="420"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（9）资格证明资料</w:t>
      </w:r>
    </w:p>
    <w:p>
      <w:pPr>
        <w:kinsoku w:val="0"/>
        <w:overflowPunct w:val="0"/>
        <w:spacing w:line="560" w:lineRule="exact"/>
        <w:ind w:right="113"/>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响应文件的上述组成部分如存在内容不一致的，以磋商响应函为准。</w:t>
      </w:r>
    </w:p>
    <w:p>
      <w:p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3、供应商已详细审查全部磋商文件（含其澄清、修改文件）以及全部参考资料和有关附件。我们完全理解并同意放弃对这方面有不明及误解的权利。</w:t>
      </w:r>
    </w:p>
    <w:p>
      <w:pPr>
        <w:numPr>
          <w:ilvl w:val="0"/>
          <w:numId w:val="8"/>
        </w:num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供应商将按磋商文件的规定履行合同责任和义务。</w:t>
      </w:r>
    </w:p>
    <w:p>
      <w:pPr>
        <w:numPr>
          <w:ilvl w:val="0"/>
          <w:numId w:val="8"/>
        </w:num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本响应文件有效期为自开启之日起</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天。</w:t>
      </w:r>
    </w:p>
    <w:p>
      <w:pPr>
        <w:tabs>
          <w:tab w:val="left" w:pos="0"/>
          <w:tab w:val="left" w:pos="720"/>
          <w:tab w:val="left" w:pos="900"/>
          <w:tab w:val="left" w:pos="1080"/>
          <w:tab w:val="left" w:pos="114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6、我们同意提供采购人要求的与</w:t>
      </w:r>
      <w:r>
        <w:rPr>
          <w:rFonts w:hint="eastAsia" w:asciiTheme="minorEastAsia" w:hAnsiTheme="minorEastAsia" w:cstheme="minorEastAsia"/>
          <w:color w:val="auto"/>
          <w:sz w:val="28"/>
          <w:szCs w:val="28"/>
          <w:highlight w:val="none"/>
          <w:lang w:val="en-US" w:eastAsia="zh-CN"/>
        </w:rPr>
        <w:t>磋商</w:t>
      </w:r>
      <w:r>
        <w:rPr>
          <w:rFonts w:hint="eastAsia" w:asciiTheme="minorEastAsia" w:hAnsiTheme="minorEastAsia" w:cstheme="minorEastAsia"/>
          <w:color w:val="auto"/>
          <w:sz w:val="28"/>
          <w:szCs w:val="28"/>
          <w:highlight w:val="none"/>
        </w:rPr>
        <w:t>有关的一切数据或资料，完全理解采购人不一定要接受最低价的</w:t>
      </w:r>
      <w:r>
        <w:rPr>
          <w:rFonts w:hint="eastAsia" w:asciiTheme="minorEastAsia" w:hAnsiTheme="minorEastAsia" w:cstheme="minorEastAsia"/>
          <w:color w:val="auto"/>
          <w:sz w:val="28"/>
          <w:szCs w:val="28"/>
          <w:highlight w:val="none"/>
          <w:lang w:val="en-US" w:eastAsia="zh-CN"/>
        </w:rPr>
        <w:t>报价</w:t>
      </w:r>
      <w:r>
        <w:rPr>
          <w:rFonts w:hint="eastAsia" w:asciiTheme="minorEastAsia" w:hAnsiTheme="minorEastAsia" w:cstheme="minorEastAsia"/>
          <w:color w:val="auto"/>
          <w:sz w:val="28"/>
          <w:szCs w:val="28"/>
          <w:highlight w:val="none"/>
        </w:rPr>
        <w:t>或收到的任何</w:t>
      </w:r>
      <w:r>
        <w:rPr>
          <w:rFonts w:hint="eastAsia" w:asciiTheme="minorEastAsia" w:hAnsiTheme="minorEastAsia" w:cstheme="minorEastAsia"/>
          <w:color w:val="auto"/>
          <w:sz w:val="28"/>
          <w:szCs w:val="28"/>
          <w:highlight w:val="none"/>
          <w:lang w:val="en-US" w:eastAsia="zh-CN"/>
        </w:rPr>
        <w:t>报价</w:t>
      </w:r>
      <w:r>
        <w:rPr>
          <w:rFonts w:hint="eastAsia" w:asciiTheme="minorEastAsia" w:hAnsiTheme="minorEastAsia" w:cstheme="minorEastAsia"/>
          <w:color w:val="auto"/>
          <w:sz w:val="28"/>
          <w:szCs w:val="28"/>
          <w:highlight w:val="none"/>
        </w:rPr>
        <w:t>。</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7、如果贵方接受我方</w:t>
      </w:r>
      <w:r>
        <w:rPr>
          <w:rFonts w:hint="eastAsia" w:asciiTheme="minorEastAsia" w:hAnsiTheme="minorEastAsia" w:cstheme="minorEastAsia"/>
          <w:color w:val="auto"/>
          <w:sz w:val="28"/>
          <w:szCs w:val="28"/>
          <w:highlight w:val="none"/>
          <w:lang w:val="en-US" w:eastAsia="zh-CN"/>
        </w:rPr>
        <w:t>成交</w:t>
      </w:r>
      <w:r>
        <w:rPr>
          <w:rFonts w:hint="eastAsia" w:asciiTheme="minorEastAsia" w:hAnsiTheme="minorEastAsia" w:cstheme="minorEastAsia"/>
          <w:color w:val="auto"/>
          <w:sz w:val="28"/>
          <w:szCs w:val="28"/>
          <w:highlight w:val="none"/>
        </w:rPr>
        <w:t>，我方保证按磋商文件和合同的约定履行合同责任和义务。</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8、除非另外达成协议并生效，贵方的成交通知书和本响应文件将成为约束我们双方的合同文件的组成部分。</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9、我方同意提供贵方可能要求的与其报价有关的一切数据或资料；完全理解贵方并不一定将合同授予报价最低的供应商，并完全理解贵方在发出成交通知书前任何时候均有权接受或拒绝任何</w:t>
      </w:r>
      <w:r>
        <w:rPr>
          <w:rFonts w:hint="eastAsia" w:asciiTheme="minorEastAsia" w:hAnsiTheme="minorEastAsia" w:cstheme="minorEastAsia"/>
          <w:color w:val="auto"/>
          <w:sz w:val="28"/>
          <w:szCs w:val="28"/>
          <w:highlight w:val="none"/>
          <w:lang w:val="en-US" w:eastAsia="zh-CN"/>
        </w:rPr>
        <w:t>响应</w:t>
      </w:r>
      <w:r>
        <w:rPr>
          <w:rFonts w:hint="eastAsia" w:asciiTheme="minorEastAsia" w:hAnsiTheme="minorEastAsia" w:cstheme="minorEastAsia"/>
          <w:color w:val="auto"/>
          <w:sz w:val="28"/>
          <w:szCs w:val="28"/>
          <w:highlight w:val="none"/>
        </w:rPr>
        <w:t>，如我方未能</w:t>
      </w:r>
      <w:r>
        <w:rPr>
          <w:rFonts w:hint="eastAsia" w:asciiTheme="minorEastAsia" w:hAnsiTheme="minorEastAsia" w:cstheme="minorEastAsia"/>
          <w:color w:val="auto"/>
          <w:sz w:val="28"/>
          <w:szCs w:val="28"/>
          <w:highlight w:val="none"/>
          <w:lang w:val="en-US" w:eastAsia="zh-CN"/>
        </w:rPr>
        <w:t>成交</w:t>
      </w:r>
      <w:r>
        <w:rPr>
          <w:rFonts w:hint="eastAsia" w:asciiTheme="minorEastAsia" w:hAnsiTheme="minorEastAsia" w:cstheme="minorEastAsia"/>
          <w:color w:val="auto"/>
          <w:sz w:val="28"/>
          <w:szCs w:val="28"/>
          <w:highlight w:val="none"/>
        </w:rPr>
        <w:t>，贵方有权不作任何解释。</w:t>
      </w:r>
    </w:p>
    <w:p>
      <w:pPr>
        <w:tabs>
          <w:tab w:val="left" w:pos="0"/>
          <w:tab w:val="left" w:pos="720"/>
          <w:tab w:val="left" w:pos="900"/>
          <w:tab w:val="left" w:pos="1080"/>
        </w:tabs>
        <w:snapToGrid w:val="0"/>
        <w:spacing w:after="156" w:afterLines="50"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10、一旦我方</w:t>
      </w:r>
      <w:r>
        <w:rPr>
          <w:rFonts w:hint="eastAsia" w:asciiTheme="minorEastAsia" w:hAnsiTheme="minorEastAsia" w:cstheme="minorEastAsia"/>
          <w:color w:val="auto"/>
          <w:sz w:val="28"/>
          <w:szCs w:val="28"/>
          <w:highlight w:val="none"/>
          <w:lang w:val="en-US" w:eastAsia="zh-CN"/>
        </w:rPr>
        <w:t>成交</w:t>
      </w:r>
      <w:r>
        <w:rPr>
          <w:rFonts w:hint="eastAsia" w:asciiTheme="minorEastAsia" w:hAnsiTheme="minorEastAsia" w:cstheme="minorEastAsia"/>
          <w:color w:val="auto"/>
          <w:sz w:val="28"/>
          <w:szCs w:val="28"/>
          <w:highlight w:val="none"/>
        </w:rPr>
        <w:t>，我方保证在收到成交通知书后，根据贵方要求的在合同约定的期限内完成合同规定的全部义务。</w:t>
      </w:r>
    </w:p>
    <w:p>
      <w:pPr>
        <w:pStyle w:val="75"/>
        <w:spacing w:after="156" w:afterLines="50" w:line="560" w:lineRule="exact"/>
        <w:ind w:left="1140" w:firstLine="0" w:firstLineChars="0"/>
        <w:rPr>
          <w:rFonts w:asciiTheme="minorEastAsia" w:hAnsiTheme="minorEastAsia" w:cstheme="minorEastAsia"/>
          <w:color w:val="auto"/>
          <w:kern w:val="2"/>
          <w:sz w:val="28"/>
          <w:szCs w:val="28"/>
          <w:highlight w:val="none"/>
        </w:rPr>
      </w:pPr>
    </w:p>
    <w:p>
      <w:pPr>
        <w:pStyle w:val="75"/>
        <w:spacing w:after="156" w:afterLines="50" w:line="560" w:lineRule="exact"/>
        <w:ind w:left="1140" w:firstLine="0" w:firstLineChars="0"/>
        <w:rPr>
          <w:rFonts w:asciiTheme="minorEastAsia" w:hAnsiTheme="minorEastAsia" w:cstheme="minorEastAsia"/>
          <w:color w:val="auto"/>
          <w:kern w:val="2"/>
          <w:sz w:val="28"/>
          <w:szCs w:val="28"/>
          <w:highlight w:val="none"/>
        </w:rPr>
      </w:pPr>
      <w:r>
        <w:rPr>
          <w:rFonts w:hint="eastAsia" w:asciiTheme="minorEastAsia" w:hAnsiTheme="minorEastAsia" w:cstheme="minorEastAsia"/>
          <w:color w:val="auto"/>
          <w:kern w:val="2"/>
          <w:sz w:val="28"/>
          <w:szCs w:val="28"/>
          <w:highlight w:val="none"/>
        </w:rPr>
        <w:t xml:space="preserve">            供应商</w:t>
      </w:r>
      <w:r>
        <w:rPr>
          <w:rFonts w:hint="eastAsia" w:asciiTheme="minorEastAsia" w:hAnsiTheme="minorEastAsia" w:cstheme="minorEastAsia"/>
          <w:color w:val="auto"/>
          <w:kern w:val="2"/>
          <w:sz w:val="28"/>
          <w:szCs w:val="28"/>
          <w:highlight w:val="none"/>
          <w:u w:val="single"/>
        </w:rPr>
        <w:t xml:space="preserve">                   </w:t>
      </w:r>
      <w:r>
        <w:rPr>
          <w:rFonts w:hint="eastAsia" w:asciiTheme="minorEastAsia" w:hAnsiTheme="minorEastAsia" w:cstheme="minorEastAsia"/>
          <w:color w:val="auto"/>
          <w:kern w:val="2"/>
          <w:sz w:val="28"/>
          <w:szCs w:val="28"/>
          <w:highlight w:val="none"/>
        </w:rPr>
        <w:t>（签章）：</w:t>
      </w:r>
    </w:p>
    <w:p>
      <w:pPr>
        <w:spacing w:after="156" w:afterLines="50" w:line="560" w:lineRule="exact"/>
        <w:ind w:left="720" w:firstLine="420" w:firstLineChars="15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法定代表人或授权代理人</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（签名）：</w:t>
      </w:r>
    </w:p>
    <w:p>
      <w:pPr>
        <w:kinsoku/>
        <w:overflowPunct/>
        <w:spacing w:line="560" w:lineRule="exact"/>
        <w:ind w:left="720" w:right="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年     月     日</w:t>
      </w:r>
    </w:p>
    <w:p>
      <w:pPr>
        <w:kinsoku w:val="0"/>
        <w:overflowPunct w:val="0"/>
        <w:spacing w:before="14"/>
        <w:rPr>
          <w:b/>
          <w:bCs/>
          <w:color w:val="auto"/>
          <w:sz w:val="16"/>
          <w:szCs w:val="16"/>
          <w:highlight w:val="none"/>
        </w:rPr>
      </w:pPr>
      <w:r>
        <w:rPr>
          <w:color w:val="auto"/>
          <w:szCs w:val="21"/>
          <w:highlight w:val="none"/>
        </w:rPr>
        <w:br w:type="page"/>
      </w:r>
    </w:p>
    <w:p>
      <w:pPr>
        <w:keepNext/>
        <w:keepLines/>
        <w:tabs>
          <w:tab w:val="left" w:pos="1275"/>
        </w:tabs>
        <w:adjustRightInd w:val="0"/>
        <w:spacing w:before="240" w:line="360" w:lineRule="auto"/>
        <w:ind w:left="22" w:hanging="22" w:hangingChars="5"/>
        <w:jc w:val="center"/>
        <w:textAlignment w:val="baseline"/>
        <w:outlineLvl w:val="1"/>
        <w:rPr>
          <w:b/>
          <w:bCs/>
          <w:color w:val="auto"/>
          <w:sz w:val="32"/>
          <w:szCs w:val="32"/>
          <w:highlight w:val="none"/>
        </w:rPr>
      </w:pPr>
      <w:bookmarkStart w:id="48" w:name="_Toc103774064"/>
      <w:bookmarkStart w:id="49" w:name="_Toc103774360"/>
      <w:bookmarkStart w:id="50" w:name="_Toc103951421"/>
      <w:bookmarkStart w:id="51" w:name="_Toc103773613"/>
      <w:bookmarkStart w:id="52" w:name="_Toc103951160"/>
      <w:bookmarkStart w:id="53" w:name="_Toc103773939"/>
      <w:r>
        <w:rPr>
          <w:rFonts w:hint="eastAsia" w:ascii="方正小标宋简体" w:eastAsia="方正小标宋简体" w:cs="Times New Roman"/>
          <w:color w:val="auto"/>
          <w:kern w:val="10"/>
          <w:sz w:val="44"/>
          <w:szCs w:val="44"/>
          <w:highlight w:val="none"/>
        </w:rPr>
        <w:t>二、法定代表人（单位负责人）身份证明</w:t>
      </w:r>
      <w:bookmarkEnd w:id="48"/>
      <w:bookmarkEnd w:id="49"/>
      <w:bookmarkEnd w:id="50"/>
      <w:bookmarkEnd w:id="51"/>
      <w:bookmarkEnd w:id="52"/>
      <w:bookmarkEnd w:id="53"/>
    </w:p>
    <w:p>
      <w:pPr>
        <w:kinsoku w:val="0"/>
        <w:overflowPunct w:val="0"/>
        <w:spacing w:before="8"/>
        <w:rPr>
          <w:b/>
          <w:bCs/>
          <w:color w:val="auto"/>
          <w:sz w:val="28"/>
          <w:szCs w:val="28"/>
          <w:highlight w:val="none"/>
        </w:rPr>
      </w:pPr>
    </w:p>
    <w:p>
      <w:pPr>
        <w:tabs>
          <w:tab w:val="left" w:pos="3928"/>
        </w:tabs>
        <w:kinsoku w:val="0"/>
        <w:overflowPunct w:val="0"/>
        <w:spacing w:line="560" w:lineRule="exact"/>
        <w:ind w:right="1034"/>
        <w:rPr>
          <w:color w:val="auto"/>
          <w:sz w:val="28"/>
          <w:szCs w:val="28"/>
          <w:highlight w:val="none"/>
        </w:rPr>
      </w:pPr>
      <w:r>
        <w:rPr>
          <w:rFonts w:hint="eastAsia"/>
          <w:color w:val="auto"/>
          <w:sz w:val="28"/>
          <w:szCs w:val="28"/>
          <w:highlight w:val="none"/>
        </w:rPr>
        <w:t>供应商名称：</w:t>
      </w:r>
      <w:r>
        <w:rPr>
          <w:color w:val="auto"/>
          <w:sz w:val="28"/>
          <w:szCs w:val="28"/>
          <w:highlight w:val="none"/>
          <w:u w:val="single"/>
        </w:rPr>
        <w:t xml:space="preserve"> </w:t>
      </w:r>
      <w:r>
        <w:rPr>
          <w:color w:val="auto"/>
          <w:sz w:val="28"/>
          <w:szCs w:val="28"/>
          <w:highlight w:val="none"/>
          <w:u w:val="single"/>
        </w:rPr>
        <w:tab/>
      </w:r>
    </w:p>
    <w:p>
      <w:pPr>
        <w:kinsoku w:val="0"/>
        <w:overflowPunct w:val="0"/>
        <w:spacing w:line="560" w:lineRule="exact"/>
        <w:rPr>
          <w:color w:val="auto"/>
          <w:sz w:val="28"/>
          <w:szCs w:val="28"/>
          <w:highlight w:val="none"/>
        </w:rPr>
      </w:pPr>
    </w:p>
    <w:p>
      <w:pPr>
        <w:tabs>
          <w:tab w:val="left" w:pos="2412"/>
          <w:tab w:val="left" w:pos="3883"/>
          <w:tab w:val="left" w:pos="5352"/>
          <w:tab w:val="left" w:pos="6869"/>
        </w:tabs>
        <w:kinsoku w:val="0"/>
        <w:overflowPunct w:val="0"/>
        <w:spacing w:line="560" w:lineRule="exact"/>
        <w:rPr>
          <w:color w:val="auto"/>
          <w:sz w:val="28"/>
          <w:szCs w:val="28"/>
          <w:highlight w:val="none"/>
          <w:u w:val="single"/>
        </w:rPr>
      </w:pPr>
      <w:r>
        <w:rPr>
          <w:rFonts w:hint="eastAsia"/>
          <w:color w:val="auto"/>
          <w:spacing w:val="-1"/>
          <w:sz w:val="28"/>
          <w:szCs w:val="28"/>
          <w:highlight w:val="none"/>
        </w:rPr>
        <w:t xml:space="preserve">        姓名：</w:t>
      </w:r>
      <w:r>
        <w:rPr>
          <w:color w:val="auto"/>
          <w:spacing w:val="-1"/>
          <w:sz w:val="28"/>
          <w:szCs w:val="28"/>
          <w:highlight w:val="none"/>
          <w:u w:val="single"/>
        </w:rPr>
        <w:tab/>
      </w:r>
      <w:r>
        <w:rPr>
          <w:rFonts w:hint="eastAsia"/>
          <w:color w:val="auto"/>
          <w:spacing w:val="-1"/>
          <w:sz w:val="28"/>
          <w:szCs w:val="28"/>
          <w:highlight w:val="none"/>
        </w:rPr>
        <w:t>性别：</w:t>
      </w:r>
      <w:r>
        <w:rPr>
          <w:color w:val="auto"/>
          <w:spacing w:val="-1"/>
          <w:sz w:val="28"/>
          <w:szCs w:val="28"/>
          <w:highlight w:val="none"/>
          <w:u w:val="single"/>
        </w:rPr>
        <w:tab/>
      </w:r>
      <w:r>
        <w:rPr>
          <w:rFonts w:hint="eastAsia"/>
          <w:color w:val="auto"/>
          <w:spacing w:val="-2"/>
          <w:sz w:val="28"/>
          <w:szCs w:val="28"/>
          <w:highlight w:val="none"/>
        </w:rPr>
        <w:t>年龄：</w:t>
      </w:r>
      <w:r>
        <w:rPr>
          <w:color w:val="auto"/>
          <w:spacing w:val="-2"/>
          <w:sz w:val="28"/>
          <w:szCs w:val="28"/>
          <w:highlight w:val="none"/>
          <w:u w:val="single"/>
        </w:rPr>
        <w:tab/>
      </w:r>
      <w:r>
        <w:rPr>
          <w:rFonts w:hint="eastAsia"/>
          <w:color w:val="auto"/>
          <w:spacing w:val="-2"/>
          <w:sz w:val="28"/>
          <w:szCs w:val="28"/>
          <w:highlight w:val="none"/>
        </w:rPr>
        <w:t>职务：</w:t>
      </w:r>
      <w:r>
        <w:rPr>
          <w:color w:val="auto"/>
          <w:sz w:val="28"/>
          <w:szCs w:val="28"/>
          <w:highlight w:val="none"/>
          <w:u w:val="single"/>
        </w:rPr>
        <w:t xml:space="preserve"> </w:t>
      </w:r>
      <w:r>
        <w:rPr>
          <w:color w:val="auto"/>
          <w:sz w:val="28"/>
          <w:szCs w:val="28"/>
          <w:highlight w:val="none"/>
          <w:u w:val="single"/>
        </w:rPr>
        <w:tab/>
      </w:r>
      <w:r>
        <w:rPr>
          <w:rFonts w:hint="eastAsia"/>
          <w:color w:val="auto"/>
          <w:sz w:val="28"/>
          <w:szCs w:val="28"/>
          <w:highlight w:val="none"/>
        </w:rPr>
        <w:t>身份证号：</w:t>
      </w:r>
      <w:r>
        <w:rPr>
          <w:color w:val="auto"/>
          <w:sz w:val="28"/>
          <w:szCs w:val="28"/>
          <w:highlight w:val="none"/>
          <w:u w:val="single"/>
        </w:rPr>
        <w:tab/>
      </w:r>
      <w:r>
        <w:rPr>
          <w:color w:val="auto"/>
          <w:sz w:val="28"/>
          <w:szCs w:val="28"/>
          <w:highlight w:val="none"/>
          <w:u w:val="single"/>
        </w:rPr>
        <w:t xml:space="preserve">          </w:t>
      </w:r>
    </w:p>
    <w:p>
      <w:pPr>
        <w:tabs>
          <w:tab w:val="left" w:pos="2832"/>
        </w:tabs>
        <w:kinsoku w:val="0"/>
        <w:overflowPunct w:val="0"/>
        <w:spacing w:line="560" w:lineRule="exact"/>
        <w:rPr>
          <w:color w:val="auto"/>
          <w:sz w:val="28"/>
          <w:szCs w:val="28"/>
          <w:highlight w:val="none"/>
        </w:rPr>
      </w:pPr>
      <w:r>
        <w:rPr>
          <w:rFonts w:hint="eastAsia"/>
          <w:color w:val="auto"/>
          <w:spacing w:val="-1"/>
          <w:sz w:val="28"/>
          <w:szCs w:val="28"/>
          <w:highlight w:val="none"/>
        </w:rPr>
        <w:t>系</w:t>
      </w:r>
      <w:r>
        <w:rPr>
          <w:color w:val="auto"/>
          <w:spacing w:val="-1"/>
          <w:sz w:val="28"/>
          <w:szCs w:val="28"/>
          <w:highlight w:val="none"/>
          <w:u w:val="single"/>
        </w:rPr>
        <w:tab/>
      </w:r>
      <w:r>
        <w:rPr>
          <w:rFonts w:hint="eastAsia"/>
          <w:color w:val="auto"/>
          <w:spacing w:val="-7"/>
          <w:sz w:val="28"/>
          <w:szCs w:val="28"/>
          <w:highlight w:val="none"/>
        </w:rPr>
        <w:t>（供应商名称）的法定代表人（单位负责人）。</w:t>
      </w:r>
    </w:p>
    <w:p>
      <w:pPr>
        <w:kinsoku w:val="0"/>
        <w:overflowPunct w:val="0"/>
        <w:spacing w:line="560" w:lineRule="exact"/>
        <w:rPr>
          <w:color w:val="auto"/>
          <w:sz w:val="28"/>
          <w:szCs w:val="28"/>
          <w:highlight w:val="none"/>
        </w:rPr>
      </w:pPr>
      <w:r>
        <w:rPr>
          <w:rFonts w:hint="eastAsia"/>
          <w:color w:val="auto"/>
          <w:sz w:val="28"/>
          <w:szCs w:val="28"/>
          <w:highlight w:val="none"/>
        </w:rPr>
        <w:t xml:space="preserve">    特此证明。</w:t>
      </w:r>
    </w:p>
    <w:p>
      <w:pPr>
        <w:kinsoku w:val="0"/>
        <w:overflowPunct w:val="0"/>
        <w:spacing w:line="560" w:lineRule="exact"/>
        <w:rPr>
          <w:color w:val="auto"/>
          <w:sz w:val="28"/>
          <w:szCs w:val="28"/>
          <w:highlight w:val="none"/>
        </w:rPr>
      </w:pPr>
    </w:p>
    <w:p>
      <w:pPr>
        <w:kinsoku w:val="0"/>
        <w:overflowPunct w:val="0"/>
        <w:spacing w:line="560" w:lineRule="exact"/>
        <w:ind w:right="1034"/>
        <w:rPr>
          <w:color w:val="auto"/>
          <w:sz w:val="28"/>
          <w:szCs w:val="28"/>
          <w:highlight w:val="none"/>
        </w:rPr>
      </w:pPr>
      <w:r>
        <w:rPr>
          <w:rFonts w:hint="eastAsia"/>
          <w:color w:val="auto"/>
          <w:sz w:val="28"/>
          <w:szCs w:val="28"/>
          <w:highlight w:val="none"/>
        </w:rPr>
        <w:t>附：法定代表人（单位负责人）身份证复印件。</w:t>
      </w:r>
    </w:p>
    <w:p>
      <w:pPr>
        <w:kinsoku w:val="0"/>
        <w:overflowPunct w:val="0"/>
        <w:spacing w:line="560" w:lineRule="exact"/>
        <w:ind w:right="1034"/>
        <w:rPr>
          <w:color w:val="auto"/>
          <w:sz w:val="28"/>
          <w:szCs w:val="28"/>
          <w:highlight w:val="none"/>
        </w:rPr>
      </w:pPr>
      <w:r>
        <w:rPr>
          <w:rFonts w:hint="eastAsia"/>
          <w:color w:val="auto"/>
          <w:sz w:val="28"/>
          <w:szCs w:val="28"/>
          <w:highlight w:val="none"/>
        </w:rPr>
        <w:t>注：本身份证明需由供应商加盖单位公章。</w:t>
      </w:r>
    </w:p>
    <w:p>
      <w:pPr>
        <w:kinsoku w:val="0"/>
        <w:overflowPunct w:val="0"/>
        <w:rPr>
          <w:color w:val="auto"/>
          <w:sz w:val="28"/>
          <w:szCs w:val="28"/>
          <w:highlight w:val="none"/>
        </w:rPr>
      </w:pPr>
    </w:p>
    <w:p>
      <w:pPr>
        <w:kinsoku w:val="0"/>
        <w:overflowPunct w:val="0"/>
        <w:rPr>
          <w:color w:val="auto"/>
          <w:sz w:val="28"/>
          <w:szCs w:val="28"/>
          <w:highlight w:val="none"/>
        </w:rPr>
      </w:pPr>
    </w:p>
    <w:p>
      <w:pPr>
        <w:kinsoku w:val="0"/>
        <w:overflowPunct w:val="0"/>
        <w:rPr>
          <w:color w:val="auto"/>
          <w:sz w:val="28"/>
          <w:szCs w:val="28"/>
          <w:highlight w:val="none"/>
        </w:rPr>
      </w:pPr>
    </w:p>
    <w:p>
      <w:pPr>
        <w:kinsoku w:val="0"/>
        <w:overflowPunct w:val="0"/>
        <w:spacing w:before="12"/>
        <w:rPr>
          <w:color w:val="auto"/>
          <w:sz w:val="28"/>
          <w:szCs w:val="28"/>
          <w:highlight w:val="none"/>
        </w:rPr>
      </w:pPr>
    </w:p>
    <w:p>
      <w:pPr>
        <w:tabs>
          <w:tab w:val="left" w:pos="6521"/>
        </w:tabs>
        <w:kinsoku w:val="0"/>
        <w:overflowPunct w:val="0"/>
        <w:rPr>
          <w:color w:val="auto"/>
          <w:spacing w:val="-1"/>
          <w:sz w:val="28"/>
          <w:szCs w:val="28"/>
          <w:highlight w:val="none"/>
        </w:rPr>
      </w:pPr>
      <w:r>
        <w:rPr>
          <w:rFonts w:hint="eastAsia"/>
          <w:color w:val="auto"/>
          <w:spacing w:val="-2"/>
          <w:sz w:val="28"/>
          <w:szCs w:val="28"/>
          <w:highlight w:val="none"/>
        </w:rPr>
        <w:t xml:space="preserve">                       供应商：</w:t>
      </w:r>
      <w:r>
        <w:rPr>
          <w:color w:val="auto"/>
          <w:spacing w:val="-2"/>
          <w:sz w:val="28"/>
          <w:szCs w:val="28"/>
          <w:highlight w:val="none"/>
          <w:u w:val="single"/>
        </w:rPr>
        <w:tab/>
      </w:r>
      <w:r>
        <w:rPr>
          <w:rFonts w:hint="eastAsia"/>
          <w:color w:val="auto"/>
          <w:spacing w:val="-1"/>
          <w:sz w:val="28"/>
          <w:szCs w:val="28"/>
          <w:highlight w:val="none"/>
        </w:rPr>
        <w:t>（盖单位公章）</w:t>
      </w:r>
    </w:p>
    <w:p>
      <w:pPr>
        <w:kinsoku w:val="0"/>
        <w:overflowPunct w:val="0"/>
        <w:rPr>
          <w:color w:val="auto"/>
          <w:sz w:val="28"/>
          <w:szCs w:val="28"/>
          <w:highlight w:val="none"/>
        </w:rPr>
      </w:pPr>
    </w:p>
    <w:p>
      <w:pPr>
        <w:tabs>
          <w:tab w:val="left" w:pos="5352"/>
          <w:tab w:val="left" w:pos="6192"/>
          <w:tab w:val="left" w:pos="7032"/>
        </w:tabs>
        <w:kinsoku w:val="0"/>
        <w:overflowPunct w:val="0"/>
        <w:spacing w:before="36"/>
        <w:ind w:left="4721" w:right="1034"/>
        <w:rPr>
          <w:rFonts w:cs="Times New Roman"/>
          <w:b/>
          <w:bCs/>
          <w:color w:val="auto"/>
          <w:sz w:val="32"/>
          <w:szCs w:val="32"/>
          <w:highlight w:val="none"/>
        </w:rPr>
      </w:pPr>
      <w:r>
        <w:rPr>
          <w:color w:val="auto"/>
          <w:sz w:val="28"/>
          <w:szCs w:val="28"/>
          <w:highlight w:val="none"/>
          <w:u w:val="single"/>
        </w:rPr>
        <w:t xml:space="preserve"> </w:t>
      </w:r>
      <w:r>
        <w:rPr>
          <w:color w:val="auto"/>
          <w:sz w:val="28"/>
          <w:szCs w:val="28"/>
          <w:highlight w:val="none"/>
          <w:u w:val="single"/>
        </w:rPr>
        <w:tab/>
      </w:r>
      <w:r>
        <w:rPr>
          <w:rFonts w:hint="eastAsia"/>
          <w:color w:val="auto"/>
          <w:sz w:val="28"/>
          <w:szCs w:val="28"/>
          <w:highlight w:val="none"/>
        </w:rPr>
        <w:t>年</w:t>
      </w:r>
      <w:r>
        <w:rPr>
          <w:color w:val="auto"/>
          <w:sz w:val="28"/>
          <w:szCs w:val="28"/>
          <w:highlight w:val="none"/>
          <w:u w:val="single"/>
        </w:rPr>
        <w:tab/>
      </w:r>
      <w:r>
        <w:rPr>
          <w:rFonts w:hint="eastAsia"/>
          <w:color w:val="auto"/>
          <w:sz w:val="28"/>
          <w:szCs w:val="28"/>
          <w:highlight w:val="none"/>
        </w:rPr>
        <w:t>月</w:t>
      </w:r>
      <w:r>
        <w:rPr>
          <w:color w:val="auto"/>
          <w:sz w:val="28"/>
          <w:szCs w:val="28"/>
          <w:highlight w:val="none"/>
          <w:u w:val="single"/>
        </w:rPr>
        <w:tab/>
      </w:r>
      <w:r>
        <w:rPr>
          <w:rFonts w:hint="eastAsia"/>
          <w:color w:val="auto"/>
          <w:sz w:val="28"/>
          <w:szCs w:val="28"/>
          <w:highlight w:val="none"/>
        </w:rPr>
        <w:t>日</w:t>
      </w:r>
    </w:p>
    <w:p>
      <w:pPr>
        <w:keepNext/>
        <w:keepLines/>
        <w:tabs>
          <w:tab w:val="left" w:pos="1275"/>
        </w:tabs>
        <w:adjustRightInd w:val="0"/>
        <w:textAlignment w:val="baseline"/>
        <w:outlineLvl w:val="1"/>
        <w:rPr>
          <w:rFonts w:ascii="方正小标宋简体" w:eastAsia="方正小标宋简体" w:cs="Times New Roman"/>
          <w:color w:val="auto"/>
          <w:kern w:val="10"/>
          <w:sz w:val="44"/>
          <w:szCs w:val="44"/>
          <w:highlight w:val="none"/>
        </w:rPr>
      </w:pPr>
      <w:bookmarkStart w:id="54" w:name="_Toc22153"/>
    </w:p>
    <w:p>
      <w:pPr>
        <w:keepNext/>
        <w:keepLines/>
        <w:tabs>
          <w:tab w:val="left" w:pos="1275"/>
        </w:tabs>
        <w:adjustRightInd w:val="0"/>
        <w:textAlignment w:val="baseline"/>
        <w:outlineLvl w:val="1"/>
        <w:rPr>
          <w:rFonts w:ascii="方正小标宋简体" w:eastAsia="方正小标宋简体" w:cs="Times New Roman"/>
          <w:color w:val="auto"/>
          <w:kern w:val="10"/>
          <w:sz w:val="44"/>
          <w:szCs w:val="44"/>
          <w:highlight w:val="none"/>
        </w:rPr>
      </w:pPr>
    </w:p>
    <w:p>
      <w:pPr>
        <w:pStyle w:val="12"/>
        <w:rPr>
          <w:color w:val="auto"/>
          <w:highlight w:val="none"/>
        </w:rPr>
      </w:pPr>
    </w:p>
    <w:p>
      <w:pPr>
        <w:keepNext/>
        <w:keepLines/>
        <w:tabs>
          <w:tab w:val="left" w:pos="1275"/>
        </w:tabs>
        <w:adjustRightInd w:val="0"/>
        <w:jc w:val="center"/>
        <w:textAlignment w:val="baseline"/>
        <w:outlineLvl w:val="1"/>
        <w:rPr>
          <w:b/>
          <w:bCs/>
          <w:color w:val="auto"/>
          <w:sz w:val="32"/>
          <w:szCs w:val="32"/>
          <w:highlight w:val="none"/>
        </w:rPr>
      </w:pPr>
      <w:r>
        <w:rPr>
          <w:rFonts w:hint="eastAsia" w:ascii="方正小标宋简体" w:eastAsia="方正小标宋简体" w:cs="Times New Roman"/>
          <w:color w:val="auto"/>
          <w:kern w:val="10"/>
          <w:sz w:val="44"/>
          <w:szCs w:val="44"/>
          <w:highlight w:val="none"/>
        </w:rPr>
        <w:t>三、法人授权委托书</w:t>
      </w:r>
      <w:bookmarkEnd w:id="54"/>
    </w:p>
    <w:p>
      <w:pPr>
        <w:kinsoku w:val="0"/>
        <w:overflowPunct w:val="0"/>
        <w:spacing w:line="560" w:lineRule="exact"/>
        <w:ind w:left="101" w:leftChars="42" w:firstLine="483" w:firstLineChars="174"/>
        <w:rPr>
          <w:color w:val="auto"/>
          <w:sz w:val="28"/>
          <w:szCs w:val="28"/>
          <w:highlight w:val="none"/>
        </w:rPr>
      </w:pPr>
      <w:r>
        <w:rPr>
          <w:rFonts w:hint="eastAsia"/>
          <w:color w:val="auto"/>
          <w:spacing w:val="-1"/>
          <w:sz w:val="28"/>
          <w:szCs w:val="28"/>
          <w:highlight w:val="none"/>
        </w:rPr>
        <w:t xml:space="preserve"> 本</w:t>
      </w:r>
      <w:r>
        <w:rPr>
          <w:rFonts w:hint="eastAsia"/>
          <w:color w:val="auto"/>
          <w:sz w:val="28"/>
          <w:szCs w:val="28"/>
          <w:highlight w:val="none"/>
        </w:rPr>
        <w:t>人</w:t>
      </w:r>
      <w:r>
        <w:rPr>
          <w:color w:val="auto"/>
          <w:sz w:val="28"/>
          <w:szCs w:val="28"/>
          <w:highlight w:val="none"/>
          <w:u w:val="single"/>
        </w:rPr>
        <w:t xml:space="preserve">               </w:t>
      </w:r>
      <w:r>
        <w:rPr>
          <w:rFonts w:hint="eastAsia"/>
          <w:color w:val="auto"/>
          <w:sz w:val="28"/>
          <w:szCs w:val="28"/>
          <w:highlight w:val="none"/>
        </w:rPr>
        <w:t>（姓名），身份证号</w:t>
      </w:r>
      <w:r>
        <w:rPr>
          <w:color w:val="auto"/>
          <w:sz w:val="28"/>
          <w:szCs w:val="28"/>
          <w:highlight w:val="none"/>
          <w:u w:val="single"/>
        </w:rPr>
        <w:t xml:space="preserve">                    </w:t>
      </w:r>
      <w:r>
        <w:rPr>
          <w:rFonts w:hint="eastAsia"/>
          <w:color w:val="auto"/>
          <w:sz w:val="28"/>
          <w:szCs w:val="28"/>
          <w:highlight w:val="none"/>
        </w:rPr>
        <w:t>，系</w:t>
      </w:r>
      <w:r>
        <w:rPr>
          <w:color w:val="auto"/>
          <w:sz w:val="28"/>
          <w:szCs w:val="28"/>
          <w:highlight w:val="none"/>
          <w:u w:val="single"/>
        </w:rPr>
        <w:t xml:space="preserve">                                           </w:t>
      </w:r>
      <w:r>
        <w:rPr>
          <w:rFonts w:hint="eastAsia"/>
          <w:color w:val="auto"/>
          <w:sz w:val="28"/>
          <w:szCs w:val="28"/>
          <w:highlight w:val="none"/>
        </w:rPr>
        <w:t>（供应商名称）的法定代表人（单位负责人），现委托</w:t>
      </w:r>
      <w:r>
        <w:rPr>
          <w:color w:val="auto"/>
          <w:sz w:val="28"/>
          <w:szCs w:val="28"/>
          <w:highlight w:val="none"/>
          <w:u w:val="single"/>
        </w:rPr>
        <w:t xml:space="preserve">                </w:t>
      </w:r>
      <w:r>
        <w:rPr>
          <w:rFonts w:hint="eastAsia"/>
          <w:color w:val="auto"/>
          <w:sz w:val="28"/>
          <w:szCs w:val="28"/>
          <w:highlight w:val="none"/>
        </w:rPr>
        <w:t>（姓名）为我方代理人。代理人根据授权，以我方名义签署、澄清确认、递交、撤回、修改采购项目响应文件、签订合同和处理有关事宜，其法律后果由我方承担。</w:t>
      </w:r>
    </w:p>
    <w:p>
      <w:pPr>
        <w:kinsoku w:val="0"/>
        <w:overflowPunct w:val="0"/>
        <w:spacing w:line="560" w:lineRule="exact"/>
        <w:ind w:firstLine="419"/>
        <w:rPr>
          <w:color w:val="auto"/>
          <w:sz w:val="28"/>
          <w:szCs w:val="28"/>
          <w:highlight w:val="none"/>
        </w:rPr>
      </w:pPr>
      <w:r>
        <w:rPr>
          <w:rFonts w:hint="eastAsia"/>
          <w:color w:val="auto"/>
          <w:sz w:val="28"/>
          <w:szCs w:val="28"/>
          <w:highlight w:val="none"/>
        </w:rPr>
        <w:t>委托期限：</w:t>
      </w:r>
      <w:r>
        <w:rPr>
          <w:color w:val="auto"/>
          <w:sz w:val="28"/>
          <w:szCs w:val="28"/>
          <w:highlight w:val="none"/>
          <w:u w:val="single"/>
        </w:rPr>
        <w:t xml:space="preserve">                                             </w:t>
      </w:r>
      <w:r>
        <w:rPr>
          <w:rFonts w:hint="eastAsia"/>
          <w:color w:val="auto"/>
          <w:sz w:val="28"/>
          <w:szCs w:val="28"/>
          <w:highlight w:val="none"/>
        </w:rPr>
        <w:t>。</w:t>
      </w:r>
    </w:p>
    <w:p>
      <w:pPr>
        <w:kinsoku w:val="0"/>
        <w:overflowPunct w:val="0"/>
        <w:spacing w:line="560" w:lineRule="exact"/>
        <w:ind w:firstLine="419"/>
        <w:rPr>
          <w:color w:val="auto"/>
          <w:sz w:val="28"/>
          <w:szCs w:val="28"/>
          <w:highlight w:val="none"/>
        </w:rPr>
      </w:pPr>
      <w:r>
        <w:rPr>
          <w:rFonts w:hint="eastAsia"/>
          <w:color w:val="auto"/>
          <w:sz w:val="28"/>
          <w:szCs w:val="28"/>
          <w:highlight w:val="none"/>
        </w:rPr>
        <w:t>代理人无转委托权。</w:t>
      </w:r>
    </w:p>
    <w:p>
      <w:pPr>
        <w:kinsoku w:val="0"/>
        <w:overflowPunct w:val="0"/>
        <w:spacing w:line="560" w:lineRule="exact"/>
        <w:rPr>
          <w:color w:val="auto"/>
          <w:sz w:val="28"/>
          <w:szCs w:val="28"/>
          <w:highlight w:val="none"/>
        </w:rPr>
      </w:pPr>
      <w:r>
        <w:rPr>
          <w:rFonts w:hint="eastAsia"/>
          <w:color w:val="auto"/>
          <w:sz w:val="28"/>
          <w:szCs w:val="28"/>
          <w:highlight w:val="none"/>
        </w:rPr>
        <w:t>附：法定代表人（单位负责人）身份证复印件及委托代理人身份证复印件。</w:t>
      </w:r>
    </w:p>
    <w:p>
      <w:pPr>
        <w:kinsoku w:val="0"/>
        <w:overflowPunct w:val="0"/>
        <w:spacing w:line="560" w:lineRule="exact"/>
        <w:rPr>
          <w:color w:val="auto"/>
          <w:sz w:val="28"/>
          <w:szCs w:val="28"/>
          <w:highlight w:val="none"/>
        </w:rPr>
      </w:pPr>
      <w:r>
        <w:rPr>
          <w:rFonts w:hint="eastAsia"/>
          <w:color w:val="auto"/>
          <w:spacing w:val="-1"/>
          <w:sz w:val="28"/>
          <w:szCs w:val="28"/>
          <w:highlight w:val="none"/>
        </w:rPr>
        <w:t>注：本授权委托书需由供应商加盖单位公章并由其法定代表人（单位负责人）和委托代理人签名</w:t>
      </w:r>
      <w:r>
        <w:rPr>
          <w:rFonts w:hint="eastAsia"/>
          <w:color w:val="auto"/>
          <w:sz w:val="28"/>
          <w:szCs w:val="28"/>
          <w:highlight w:val="none"/>
        </w:rPr>
        <w:t>。</w:t>
      </w:r>
    </w:p>
    <w:p>
      <w:pPr>
        <w:kinsoku w:val="0"/>
        <w:overflowPunct w:val="0"/>
        <w:spacing w:before="9"/>
        <w:rPr>
          <w:color w:val="auto"/>
          <w:sz w:val="28"/>
          <w:szCs w:val="28"/>
          <w:highlight w:val="none"/>
        </w:rPr>
      </w:pPr>
    </w:p>
    <w:p>
      <w:pPr>
        <w:tabs>
          <w:tab w:val="left" w:pos="3216"/>
          <w:tab w:val="left" w:pos="3636"/>
          <w:tab w:val="left" w:pos="7241"/>
        </w:tabs>
        <w:kinsoku w:val="0"/>
        <w:overflowPunct w:val="0"/>
        <w:ind w:left="2793"/>
        <w:rPr>
          <w:color w:val="auto"/>
          <w:sz w:val="28"/>
          <w:szCs w:val="28"/>
          <w:highlight w:val="none"/>
        </w:rPr>
      </w:pPr>
      <w:r>
        <w:rPr>
          <w:rFonts w:hint="eastAsia"/>
          <w:color w:val="auto"/>
          <w:spacing w:val="-3"/>
          <w:sz w:val="28"/>
          <w:szCs w:val="28"/>
          <w:highlight w:val="none"/>
        </w:rPr>
        <w:t>供应商：</w:t>
      </w:r>
      <w:r>
        <w:rPr>
          <w:rFonts w:hint="eastAsia"/>
          <w:color w:val="auto"/>
          <w:spacing w:val="-3"/>
          <w:sz w:val="28"/>
          <w:szCs w:val="28"/>
          <w:highlight w:val="none"/>
          <w:u w:val="single"/>
        </w:rPr>
        <w:t xml:space="preserve">                       </w:t>
      </w:r>
      <w:r>
        <w:rPr>
          <w:rFonts w:hint="eastAsia"/>
          <w:color w:val="auto"/>
          <w:sz w:val="28"/>
          <w:szCs w:val="28"/>
          <w:highlight w:val="none"/>
        </w:rPr>
        <w:t>（盖单位公章）</w:t>
      </w:r>
    </w:p>
    <w:p>
      <w:pPr>
        <w:tabs>
          <w:tab w:val="left" w:pos="7232"/>
        </w:tabs>
        <w:kinsoku w:val="0"/>
        <w:overflowPunct w:val="0"/>
        <w:spacing w:before="36"/>
        <w:rPr>
          <w:color w:val="auto"/>
          <w:sz w:val="28"/>
          <w:szCs w:val="28"/>
          <w:highlight w:val="none"/>
        </w:rPr>
      </w:pPr>
      <w:r>
        <w:rPr>
          <w:rFonts w:hint="eastAsia"/>
          <w:color w:val="auto"/>
          <w:spacing w:val="-2"/>
          <w:sz w:val="28"/>
          <w:szCs w:val="28"/>
          <w:highlight w:val="none"/>
        </w:rPr>
        <w:t xml:space="preserve">                     法定代表人：</w:t>
      </w:r>
      <w:r>
        <w:rPr>
          <w:color w:val="auto"/>
          <w:spacing w:val="-2"/>
          <w:sz w:val="28"/>
          <w:szCs w:val="28"/>
          <w:highlight w:val="none"/>
          <w:u w:val="single"/>
        </w:rPr>
        <w:tab/>
      </w:r>
      <w:r>
        <w:rPr>
          <w:rFonts w:hint="eastAsia"/>
          <w:color w:val="auto"/>
          <w:spacing w:val="-1"/>
          <w:sz w:val="28"/>
          <w:szCs w:val="28"/>
          <w:highlight w:val="none"/>
        </w:rPr>
        <w:t>（签名或盖章）</w:t>
      </w:r>
    </w:p>
    <w:p>
      <w:pPr>
        <w:tabs>
          <w:tab w:val="left" w:pos="8549"/>
        </w:tabs>
        <w:kinsoku w:val="0"/>
        <w:overflowPunct w:val="0"/>
        <w:spacing w:before="36"/>
        <w:ind w:left="2793"/>
        <w:rPr>
          <w:color w:val="auto"/>
          <w:sz w:val="28"/>
          <w:szCs w:val="28"/>
          <w:highlight w:val="none"/>
        </w:rPr>
      </w:pPr>
      <w:r>
        <w:rPr>
          <w:rFonts w:hint="eastAsia"/>
          <w:color w:val="auto"/>
          <w:sz w:val="28"/>
          <w:szCs w:val="28"/>
          <w:highlight w:val="none"/>
        </w:rPr>
        <w:t>身份证号码：</w:t>
      </w:r>
      <w:r>
        <w:rPr>
          <w:color w:val="auto"/>
          <w:sz w:val="28"/>
          <w:szCs w:val="28"/>
          <w:highlight w:val="none"/>
          <w:u w:val="single"/>
        </w:rPr>
        <w:t xml:space="preserve"> </w:t>
      </w:r>
      <w:r>
        <w:rPr>
          <w:color w:val="auto"/>
          <w:sz w:val="28"/>
          <w:szCs w:val="28"/>
          <w:highlight w:val="none"/>
          <w:u w:val="single"/>
        </w:rPr>
        <w:tab/>
      </w:r>
    </w:p>
    <w:p>
      <w:pPr>
        <w:tabs>
          <w:tab w:val="left" w:pos="7661"/>
        </w:tabs>
        <w:kinsoku w:val="0"/>
        <w:overflowPunct w:val="0"/>
        <w:spacing w:before="36"/>
        <w:ind w:left="2793"/>
        <w:rPr>
          <w:color w:val="auto"/>
          <w:sz w:val="28"/>
          <w:szCs w:val="28"/>
          <w:highlight w:val="none"/>
        </w:rPr>
      </w:pPr>
      <w:r>
        <w:rPr>
          <w:rFonts w:hint="eastAsia"/>
          <w:color w:val="auto"/>
          <w:spacing w:val="-2"/>
          <w:sz w:val="28"/>
          <w:szCs w:val="28"/>
          <w:highlight w:val="none"/>
        </w:rPr>
        <w:t>委托代理人：</w:t>
      </w:r>
      <w:r>
        <w:rPr>
          <w:color w:val="auto"/>
          <w:spacing w:val="-2"/>
          <w:sz w:val="28"/>
          <w:szCs w:val="28"/>
          <w:highlight w:val="none"/>
          <w:u w:val="single"/>
        </w:rPr>
        <w:tab/>
      </w:r>
      <w:r>
        <w:rPr>
          <w:rFonts w:hint="eastAsia"/>
          <w:color w:val="auto"/>
          <w:spacing w:val="-2"/>
          <w:sz w:val="28"/>
          <w:szCs w:val="28"/>
          <w:highlight w:val="none"/>
          <w:u w:val="single"/>
        </w:rPr>
        <w:t xml:space="preserve"> </w:t>
      </w:r>
      <w:r>
        <w:rPr>
          <w:rFonts w:hint="eastAsia"/>
          <w:color w:val="auto"/>
          <w:spacing w:val="-1"/>
          <w:sz w:val="28"/>
          <w:szCs w:val="28"/>
          <w:highlight w:val="none"/>
        </w:rPr>
        <w:t>（签名）</w:t>
      </w:r>
    </w:p>
    <w:p>
      <w:pPr>
        <w:tabs>
          <w:tab w:val="left" w:pos="8549"/>
        </w:tabs>
        <w:kinsoku w:val="0"/>
        <w:overflowPunct w:val="0"/>
        <w:spacing w:before="36"/>
        <w:ind w:left="2793"/>
        <w:rPr>
          <w:color w:val="auto"/>
          <w:sz w:val="28"/>
          <w:szCs w:val="28"/>
          <w:highlight w:val="none"/>
        </w:rPr>
      </w:pPr>
      <w:r>
        <w:rPr>
          <w:rFonts w:hint="eastAsia"/>
          <w:color w:val="auto"/>
          <w:sz w:val="28"/>
          <w:szCs w:val="28"/>
          <w:highlight w:val="none"/>
        </w:rPr>
        <w:t>身份证号码：</w:t>
      </w:r>
      <w:r>
        <w:rPr>
          <w:color w:val="auto"/>
          <w:sz w:val="28"/>
          <w:szCs w:val="28"/>
          <w:highlight w:val="none"/>
          <w:u w:val="single"/>
        </w:rPr>
        <w:t xml:space="preserve"> </w:t>
      </w:r>
      <w:r>
        <w:rPr>
          <w:color w:val="auto"/>
          <w:sz w:val="28"/>
          <w:szCs w:val="28"/>
          <w:highlight w:val="none"/>
          <w:u w:val="single"/>
        </w:rPr>
        <w:tab/>
      </w:r>
    </w:p>
    <w:p>
      <w:pPr>
        <w:tabs>
          <w:tab w:val="left" w:pos="8549"/>
        </w:tabs>
        <w:kinsoku w:val="0"/>
        <w:overflowPunct w:val="0"/>
        <w:spacing w:before="36"/>
        <w:ind w:left="2793"/>
        <w:rPr>
          <w:color w:val="auto"/>
          <w:sz w:val="28"/>
          <w:szCs w:val="28"/>
          <w:highlight w:val="none"/>
        </w:rPr>
      </w:pPr>
      <w:r>
        <w:rPr>
          <w:rFonts w:hint="eastAsia"/>
          <w:color w:val="auto"/>
          <w:sz w:val="28"/>
          <w:szCs w:val="28"/>
          <w:highlight w:val="none"/>
        </w:rPr>
        <w:t>委托代理人邮箱：</w:t>
      </w:r>
      <w:r>
        <w:rPr>
          <w:color w:val="auto"/>
          <w:sz w:val="28"/>
          <w:szCs w:val="28"/>
          <w:highlight w:val="none"/>
          <w:u w:val="single"/>
        </w:rPr>
        <w:t xml:space="preserve"> </w:t>
      </w:r>
      <w:r>
        <w:rPr>
          <w:color w:val="auto"/>
          <w:sz w:val="28"/>
          <w:szCs w:val="28"/>
          <w:highlight w:val="none"/>
          <w:u w:val="single"/>
        </w:rPr>
        <w:tab/>
      </w:r>
    </w:p>
    <w:p>
      <w:pPr>
        <w:tabs>
          <w:tab w:val="left" w:pos="6643"/>
          <w:tab w:val="left" w:pos="7589"/>
          <w:tab w:val="left" w:pos="8533"/>
        </w:tabs>
        <w:kinsoku w:val="0"/>
        <w:overflowPunct w:val="0"/>
        <w:spacing w:before="36"/>
        <w:ind w:left="5907"/>
        <w:rPr>
          <w:color w:val="auto"/>
          <w:sz w:val="28"/>
          <w:szCs w:val="28"/>
          <w:highlight w:val="none"/>
        </w:rPr>
      </w:pPr>
      <w:r>
        <w:rPr>
          <w:color w:val="auto"/>
          <w:sz w:val="28"/>
          <w:szCs w:val="28"/>
          <w:highlight w:val="none"/>
          <w:u w:val="single"/>
        </w:rPr>
        <w:t xml:space="preserve"> </w:t>
      </w:r>
      <w:r>
        <w:rPr>
          <w:color w:val="auto"/>
          <w:sz w:val="28"/>
          <w:szCs w:val="28"/>
          <w:highlight w:val="none"/>
          <w:u w:val="single"/>
        </w:rPr>
        <w:tab/>
      </w:r>
      <w:r>
        <w:rPr>
          <w:rFonts w:hint="eastAsia"/>
          <w:color w:val="auto"/>
          <w:sz w:val="28"/>
          <w:szCs w:val="28"/>
          <w:highlight w:val="none"/>
        </w:rPr>
        <w:t>年</w:t>
      </w:r>
      <w:r>
        <w:rPr>
          <w:color w:val="auto"/>
          <w:sz w:val="28"/>
          <w:szCs w:val="28"/>
          <w:highlight w:val="none"/>
          <w:u w:val="single"/>
        </w:rPr>
        <w:tab/>
      </w:r>
      <w:r>
        <w:rPr>
          <w:rFonts w:hint="eastAsia"/>
          <w:color w:val="auto"/>
          <w:spacing w:val="-3"/>
          <w:sz w:val="28"/>
          <w:szCs w:val="28"/>
          <w:highlight w:val="none"/>
        </w:rPr>
        <w:t>月</w:t>
      </w:r>
      <w:r>
        <w:rPr>
          <w:color w:val="auto"/>
          <w:spacing w:val="-3"/>
          <w:sz w:val="28"/>
          <w:szCs w:val="28"/>
          <w:highlight w:val="none"/>
          <w:u w:val="single"/>
        </w:rPr>
        <w:tab/>
      </w:r>
      <w:r>
        <w:rPr>
          <w:rFonts w:hint="eastAsia"/>
          <w:color w:val="auto"/>
          <w:sz w:val="28"/>
          <w:szCs w:val="28"/>
          <w:highlight w:val="none"/>
        </w:rPr>
        <w:t>日</w:t>
      </w:r>
    </w:p>
    <w:p>
      <w:pPr>
        <w:spacing w:line="360" w:lineRule="auto"/>
        <w:rPr>
          <w:b/>
          <w:color w:val="auto"/>
          <w:highlight w:val="none"/>
        </w:rPr>
      </w:pPr>
    </w:p>
    <w:p>
      <w:pPr>
        <w:keepNext/>
        <w:keepLines/>
        <w:adjustRightInd w:val="0"/>
        <w:jc w:val="center"/>
        <w:textAlignment w:val="baseline"/>
        <w:outlineLvl w:val="1"/>
        <w:rPr>
          <w:rFonts w:ascii="Arial" w:hAnsi="Arial" w:eastAsia="黑体" w:cs="黑体"/>
          <w:b/>
          <w:color w:val="auto"/>
          <w:sz w:val="30"/>
          <w:highlight w:val="none"/>
        </w:rPr>
      </w:pPr>
      <w:r>
        <w:rPr>
          <w:rFonts w:hint="eastAsia" w:eastAsia="黑体"/>
          <w:color w:val="auto"/>
          <w:sz w:val="30"/>
          <w:szCs w:val="28"/>
          <w:highlight w:val="none"/>
        </w:rPr>
        <w:br w:type="page"/>
      </w:r>
      <w:bookmarkStart w:id="55" w:name="_Toc29063"/>
      <w:r>
        <w:rPr>
          <w:rFonts w:hint="eastAsia" w:ascii="方正小标宋简体" w:eastAsia="方正小标宋简体" w:cs="Times New Roman"/>
          <w:color w:val="auto"/>
          <w:kern w:val="10"/>
          <w:sz w:val="44"/>
          <w:szCs w:val="44"/>
          <w:highlight w:val="none"/>
        </w:rPr>
        <w:t>四、报 价 函</w:t>
      </w:r>
      <w:bookmarkEnd w:id="55"/>
    </w:p>
    <w:p>
      <w:pPr>
        <w:jc w:val="center"/>
        <w:rPr>
          <w:b/>
          <w:color w:val="auto"/>
          <w:sz w:val="36"/>
          <w:szCs w:val="36"/>
          <w:highlight w:val="none"/>
        </w:rPr>
      </w:pP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致：</w:t>
      </w:r>
      <w:r>
        <w:rPr>
          <w:rFonts w:hint="eastAsia" w:asciiTheme="minorEastAsia" w:hAnsiTheme="minorEastAsia" w:cstheme="minorEastAsia"/>
          <w:b/>
          <w:color w:val="auto"/>
          <w:sz w:val="28"/>
          <w:szCs w:val="28"/>
          <w:highlight w:val="none"/>
          <w:u w:val="single"/>
        </w:rPr>
        <w:t>广西壮族自治区农村信用社联合社</w:t>
      </w:r>
      <w:r>
        <w:rPr>
          <w:rFonts w:hint="eastAsia" w:asciiTheme="minorEastAsia" w:hAnsiTheme="minorEastAsia" w:cstheme="minorEastAsia"/>
          <w:b/>
          <w:color w:val="auto"/>
          <w:sz w:val="28"/>
          <w:szCs w:val="28"/>
          <w:highlight w:val="none"/>
        </w:rPr>
        <w:t>：</w:t>
      </w:r>
    </w:p>
    <w:p>
      <w:pPr>
        <w:spacing w:line="560" w:lineRule="exact"/>
        <w:ind w:firstLine="658" w:firstLineChars="235"/>
        <w:rPr>
          <w:rFonts w:asciiTheme="minorEastAsia" w:hAnsiTheme="minorEastAsia" w:cstheme="minorEastAsia"/>
          <w:b/>
          <w:bCs/>
          <w:color w:val="auto"/>
          <w:sz w:val="28"/>
          <w:szCs w:val="28"/>
          <w:highlight w:val="none"/>
          <w:u w:val="single"/>
        </w:rPr>
      </w:pPr>
      <w:r>
        <w:rPr>
          <w:rFonts w:hint="eastAsia" w:asciiTheme="minorEastAsia" w:hAnsiTheme="minorEastAsia" w:cstheme="minorEastAsia"/>
          <w:color w:val="auto"/>
          <w:sz w:val="28"/>
          <w:szCs w:val="28"/>
          <w:highlight w:val="none"/>
        </w:rPr>
        <w:t>1、根据贵方发出的广西壮族自治区农村信用社联合社健康保障委托管理服务的采购文件，对上述服务的采购文件中供应商须知、服务要求等有关文件慎重研究后，我方愿意以报价中的价格及承诺，完成承保范围内的全部内容。</w:t>
      </w:r>
    </w:p>
    <w:p>
      <w:pPr>
        <w:spacing w:line="560" w:lineRule="exact"/>
        <w:ind w:firstLine="658" w:firstLineChars="235"/>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2、我方郑重承诺，我方的报价及报价文件自</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年</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月</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日起的</w:t>
      </w:r>
      <w:r>
        <w:rPr>
          <w:rFonts w:hint="eastAsia" w:asciiTheme="minorEastAsia" w:hAnsiTheme="minorEastAsia" w:cstheme="minorEastAsia"/>
          <w:color w:val="auto"/>
          <w:sz w:val="28"/>
          <w:szCs w:val="28"/>
          <w:highlight w:val="none"/>
          <w:u w:val="single"/>
        </w:rPr>
        <w:t xml:space="preserve"> 90</w:t>
      </w:r>
      <w:r>
        <w:rPr>
          <w:rFonts w:hint="eastAsia" w:asciiTheme="minorEastAsia" w:hAnsiTheme="minorEastAsia" w:cstheme="minorEastAsia"/>
          <w:color w:val="auto"/>
          <w:sz w:val="28"/>
          <w:szCs w:val="28"/>
          <w:highlight w:val="none"/>
        </w:rPr>
        <w:t>日内持续有效，在此期间我方承诺不撤销报价文件，也不改变报价及报价文件的实质性内容，一旦我方成交，我方将在报价文件规定的时间内与贵方签订合同，并受此约束。</w:t>
      </w:r>
    </w:p>
    <w:p>
      <w:pPr>
        <w:spacing w:line="560" w:lineRule="exact"/>
        <w:ind w:firstLine="661" w:firstLineChars="235"/>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3、我方已详细审核并确认全部报价文件，包括答疑文件及有关附件。</w:t>
      </w:r>
    </w:p>
    <w:p>
      <w:pPr>
        <w:spacing w:line="560" w:lineRule="exact"/>
        <w:ind w:firstLine="658" w:firstLineChars="235"/>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4、除非另外达成协议并生效，贵方的成交通知书和报价文件全部将成为约束双方的合同文件的组成部分。</w:t>
      </w:r>
    </w:p>
    <w:p>
      <w:pPr>
        <w:spacing w:line="560" w:lineRule="exact"/>
        <w:ind w:firstLine="658" w:firstLineChars="235"/>
        <w:rPr>
          <w:rFonts w:asciiTheme="minorEastAsia" w:hAnsiTheme="minorEastAsia" w:cstheme="minorEastAsia"/>
          <w:color w:val="auto"/>
          <w:sz w:val="28"/>
          <w:szCs w:val="28"/>
          <w:highlight w:val="none"/>
        </w:rPr>
      </w:pP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供应商：</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 xml:space="preserve">（盖章）  </w:t>
      </w: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w:t>
      </w:r>
    </w:p>
    <w:p>
      <w:pPr>
        <w:spacing w:line="5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法定代表人（或委托代理人）：</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（签名）</w:t>
      </w:r>
    </w:p>
    <w:p>
      <w:pPr>
        <w:adjustRightInd w:val="0"/>
        <w:snapToGrid w:val="0"/>
        <w:spacing w:line="560" w:lineRule="exact"/>
        <w:rPr>
          <w:rFonts w:asciiTheme="minorEastAsia" w:hAnsiTheme="minorEastAsia" w:cstheme="minorEastAsia"/>
          <w:color w:val="auto"/>
          <w:sz w:val="28"/>
          <w:szCs w:val="28"/>
          <w:highlight w:val="none"/>
        </w:rPr>
      </w:pPr>
    </w:p>
    <w:p>
      <w:pPr>
        <w:spacing w:line="560" w:lineRule="exact"/>
        <w:ind w:left="560" w:hanging="560" w:hanging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                     日期：</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 xml:space="preserve">年 </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 xml:space="preserve">月 </w:t>
      </w:r>
      <w:r>
        <w:rPr>
          <w:rFonts w:hint="eastAsia" w:asciiTheme="minorEastAsia" w:hAnsiTheme="minorEastAsia" w:cstheme="minorEastAsia"/>
          <w:color w:val="auto"/>
          <w:sz w:val="28"/>
          <w:szCs w:val="28"/>
          <w:highlight w:val="none"/>
          <w:u w:val="single"/>
        </w:rPr>
        <w:t xml:space="preserve">      </w:t>
      </w:r>
      <w:r>
        <w:rPr>
          <w:rFonts w:hint="eastAsia" w:asciiTheme="minorEastAsia" w:hAnsiTheme="minorEastAsia" w:cstheme="minorEastAsia"/>
          <w:color w:val="auto"/>
          <w:sz w:val="28"/>
          <w:szCs w:val="28"/>
          <w:highlight w:val="none"/>
        </w:rPr>
        <w:t>日</w:t>
      </w:r>
    </w:p>
    <w:p>
      <w:pPr>
        <w:keepNext/>
        <w:keepLines/>
        <w:adjustRightInd w:val="0"/>
        <w:spacing w:before="240" w:line="360" w:lineRule="auto"/>
        <w:jc w:val="center"/>
        <w:textAlignment w:val="baseline"/>
        <w:outlineLvl w:val="1"/>
        <w:rPr>
          <w:rFonts w:ascii="Arial" w:hAnsi="Arial" w:eastAsia="黑体" w:cs="黑体"/>
          <w:b/>
          <w:color w:val="auto"/>
          <w:sz w:val="30"/>
          <w:highlight w:val="none"/>
        </w:rPr>
      </w:pPr>
      <w:r>
        <w:rPr>
          <w:rFonts w:hint="eastAsia" w:eastAsia="黑体"/>
          <w:b/>
          <w:color w:val="auto"/>
          <w:sz w:val="30"/>
          <w:szCs w:val="28"/>
          <w:highlight w:val="none"/>
        </w:rPr>
        <w:br w:type="page"/>
      </w:r>
      <w:bookmarkStart w:id="56" w:name="_Toc5265"/>
      <w:r>
        <w:rPr>
          <w:rFonts w:hint="eastAsia" w:ascii="方正小标宋简体" w:eastAsia="方正小标宋简体" w:cs="Times New Roman"/>
          <w:color w:val="auto"/>
          <w:kern w:val="10"/>
          <w:sz w:val="44"/>
          <w:szCs w:val="44"/>
          <w:highlight w:val="none"/>
        </w:rPr>
        <w:t>五、报价表（单独封装）</w:t>
      </w:r>
      <w:bookmarkEnd w:id="56"/>
    </w:p>
    <w:p>
      <w:pPr>
        <w:spacing w:line="440" w:lineRule="exact"/>
        <w:rPr>
          <w:b/>
          <w:color w:val="auto"/>
          <w:sz w:val="28"/>
          <w:szCs w:val="28"/>
          <w:highlight w:val="none"/>
        </w:rPr>
      </w:pP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3" w:hRule="atLeast"/>
        </w:trPr>
        <w:tc>
          <w:tcPr>
            <w:tcW w:w="215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highlight w:val="none"/>
              </w:rPr>
            </w:pPr>
            <w:r>
              <w:rPr>
                <w:rFonts w:hint="eastAsia"/>
                <w:color w:val="auto"/>
                <w:sz w:val="28"/>
                <w:szCs w:val="28"/>
                <w:highlight w:val="none"/>
              </w:rPr>
              <w:t>项目名称</w:t>
            </w:r>
          </w:p>
        </w:tc>
        <w:tc>
          <w:tcPr>
            <w:tcW w:w="6983" w:type="dxa"/>
            <w:tcBorders>
              <w:top w:val="single" w:color="auto" w:sz="4" w:space="0"/>
              <w:left w:val="single" w:color="auto" w:sz="4" w:space="0"/>
              <w:bottom w:val="single" w:color="auto" w:sz="4" w:space="0"/>
              <w:right w:val="single" w:color="auto" w:sz="4" w:space="0"/>
            </w:tcBorders>
            <w:vAlign w:val="center"/>
          </w:tcPr>
          <w:p>
            <w:pPr>
              <w:adjustRightInd w:val="0"/>
              <w:snapToGrid w:val="0"/>
              <w:rPr>
                <w:bCs/>
                <w:color w:val="auto"/>
                <w:spacing w:val="-8"/>
                <w:sz w:val="28"/>
                <w:szCs w:val="28"/>
                <w:highlight w:val="none"/>
                <w:u w:val="single"/>
              </w:rPr>
            </w:pPr>
            <w:r>
              <w:rPr>
                <w:rFonts w:hint="eastAsia"/>
                <w:bCs/>
                <w:color w:val="auto"/>
                <w:spacing w:val="-8"/>
                <w:sz w:val="28"/>
                <w:szCs w:val="28"/>
                <w:highlight w:val="none"/>
              </w:rPr>
              <w:t>广西壮族自治区农村信用社联合社健康保障委托管理服务</w:t>
            </w:r>
            <w:r>
              <w:rPr>
                <w:rFonts w:hint="eastAsia"/>
                <w:bCs/>
                <w:color w:val="auto"/>
                <w:spacing w:val="-8"/>
                <w:sz w:val="28"/>
                <w:szCs w:val="28"/>
                <w:highlight w:val="none"/>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215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highlight w:val="none"/>
              </w:rPr>
            </w:pPr>
            <w:r>
              <w:rPr>
                <w:rFonts w:hint="eastAsia"/>
                <w:color w:val="auto"/>
                <w:sz w:val="28"/>
                <w:szCs w:val="28"/>
                <w:highlight w:val="none"/>
              </w:rPr>
              <w:t>供应商名称</w:t>
            </w:r>
          </w:p>
        </w:tc>
        <w:tc>
          <w:tcPr>
            <w:tcW w:w="6983" w:type="dxa"/>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highlight w:val="none"/>
              </w:rPr>
            </w:pPr>
            <w:r>
              <w:rPr>
                <w:rFonts w:hint="eastAsia"/>
                <w:color w:val="auto"/>
                <w:sz w:val="28"/>
                <w:szCs w:val="28"/>
                <w:highlight w:val="none"/>
              </w:rPr>
              <w:t>管理费率报价</w:t>
            </w:r>
          </w:p>
          <w:p>
            <w:pPr>
              <w:jc w:val="center"/>
              <w:rPr>
                <w:color w:val="auto"/>
                <w:sz w:val="28"/>
                <w:szCs w:val="28"/>
                <w:highlight w:val="none"/>
              </w:rPr>
            </w:pPr>
            <w:r>
              <w:rPr>
                <w:rFonts w:hint="eastAsia"/>
                <w:color w:val="auto"/>
                <w:sz w:val="28"/>
                <w:szCs w:val="28"/>
                <w:highlight w:val="none"/>
              </w:rPr>
              <w:t>（%）</w:t>
            </w:r>
          </w:p>
        </w:tc>
        <w:tc>
          <w:tcPr>
            <w:tcW w:w="6983" w:type="dxa"/>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u w:val="single"/>
              </w:rPr>
            </w:pPr>
            <w:r>
              <w:rPr>
                <w:rFonts w:hint="eastAsia"/>
                <w:color w:val="auto"/>
                <w:sz w:val="28"/>
                <w:szCs w:val="28"/>
                <w:highlight w:val="none"/>
              </w:rPr>
              <w:t>管理费率为</w:t>
            </w:r>
            <w:r>
              <w:rPr>
                <w:rFonts w:hint="eastAsia"/>
                <w:color w:val="auto"/>
                <w:sz w:val="28"/>
                <w:szCs w:val="28"/>
                <w:highlight w:val="none"/>
                <w:u w:val="single"/>
              </w:rPr>
              <w:t xml:space="preserve">            </w:t>
            </w:r>
            <w:r>
              <w:rPr>
                <w:rFonts w:hint="eastAsia"/>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15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highlight w:val="none"/>
              </w:rPr>
            </w:pPr>
            <w:r>
              <w:rPr>
                <w:rFonts w:hint="eastAsia"/>
                <w:color w:val="auto"/>
                <w:sz w:val="28"/>
                <w:szCs w:val="28"/>
                <w:highlight w:val="none"/>
              </w:rPr>
              <w:t>服务时间：</w:t>
            </w:r>
          </w:p>
        </w:tc>
        <w:tc>
          <w:tcPr>
            <w:tcW w:w="6983" w:type="dxa"/>
            <w:tcBorders>
              <w:top w:val="single" w:color="auto" w:sz="4" w:space="0"/>
              <w:left w:val="single" w:color="auto" w:sz="4" w:space="0"/>
              <w:bottom w:val="single" w:color="auto" w:sz="4" w:space="0"/>
              <w:right w:val="single" w:color="auto" w:sz="4" w:space="0"/>
            </w:tcBorders>
            <w:vAlign w:val="center"/>
          </w:tcPr>
          <w:p>
            <w:pPr>
              <w:keepLines/>
              <w:rPr>
                <w:color w:val="auto"/>
                <w:sz w:val="28"/>
                <w:szCs w:val="28"/>
                <w:highlight w:val="none"/>
              </w:rPr>
            </w:pPr>
            <w:r>
              <w:rPr>
                <w:rFonts w:hint="eastAsia"/>
                <w:color w:val="auto"/>
                <w:sz w:val="28"/>
                <w:szCs w:val="28"/>
                <w:highlight w:val="none"/>
              </w:rPr>
              <w:t xml:space="preserve">  </w:t>
            </w:r>
            <w:r>
              <w:rPr>
                <w:rFonts w:hint="eastAsia"/>
                <w:color w:val="auto"/>
                <w:sz w:val="28"/>
                <w:szCs w:val="28"/>
                <w:highlight w:val="none"/>
                <w:u w:val="single"/>
              </w:rPr>
              <w:t xml:space="preserve">                          </w:t>
            </w:r>
          </w:p>
        </w:tc>
      </w:tr>
    </w:tbl>
    <w:p>
      <w:pPr>
        <w:spacing w:line="440" w:lineRule="exact"/>
        <w:rPr>
          <w:color w:val="auto"/>
          <w:sz w:val="28"/>
          <w:szCs w:val="28"/>
          <w:highlight w:val="none"/>
        </w:rPr>
      </w:pPr>
    </w:p>
    <w:p>
      <w:pPr>
        <w:spacing w:line="440" w:lineRule="exact"/>
        <w:rPr>
          <w:color w:val="auto"/>
          <w:sz w:val="28"/>
          <w:szCs w:val="28"/>
          <w:highlight w:val="none"/>
        </w:rPr>
      </w:pPr>
    </w:p>
    <w:p>
      <w:pPr>
        <w:spacing w:line="440" w:lineRule="exact"/>
        <w:rPr>
          <w:color w:val="auto"/>
          <w:sz w:val="28"/>
          <w:szCs w:val="28"/>
          <w:highlight w:val="none"/>
        </w:rPr>
      </w:pPr>
    </w:p>
    <w:p>
      <w:pPr>
        <w:spacing w:line="440" w:lineRule="exact"/>
        <w:rPr>
          <w:color w:val="auto"/>
          <w:sz w:val="28"/>
          <w:szCs w:val="28"/>
          <w:highlight w:val="none"/>
        </w:rPr>
      </w:pPr>
    </w:p>
    <w:p>
      <w:pPr>
        <w:spacing w:line="440" w:lineRule="exact"/>
        <w:rPr>
          <w:color w:val="auto"/>
          <w:sz w:val="28"/>
          <w:szCs w:val="28"/>
          <w:highlight w:val="none"/>
        </w:rPr>
      </w:pPr>
      <w:r>
        <w:rPr>
          <w:rFonts w:hint="eastAsia"/>
          <w:color w:val="auto"/>
          <w:sz w:val="28"/>
          <w:szCs w:val="28"/>
          <w:highlight w:val="none"/>
        </w:rPr>
        <w:t xml:space="preserve">                 供应商：</w:t>
      </w:r>
      <w:r>
        <w:rPr>
          <w:rFonts w:hint="eastAsia"/>
          <w:color w:val="auto"/>
          <w:sz w:val="28"/>
          <w:szCs w:val="28"/>
          <w:highlight w:val="none"/>
          <w:u w:val="single"/>
        </w:rPr>
        <w:t xml:space="preserve">                               </w:t>
      </w:r>
      <w:r>
        <w:rPr>
          <w:rFonts w:hint="eastAsia"/>
          <w:color w:val="auto"/>
          <w:sz w:val="28"/>
          <w:szCs w:val="28"/>
          <w:highlight w:val="none"/>
        </w:rPr>
        <w:t xml:space="preserve">（盖章）  </w:t>
      </w:r>
    </w:p>
    <w:p>
      <w:pPr>
        <w:spacing w:line="440" w:lineRule="exact"/>
        <w:rPr>
          <w:color w:val="auto"/>
          <w:sz w:val="28"/>
          <w:szCs w:val="28"/>
          <w:highlight w:val="none"/>
        </w:rPr>
      </w:pPr>
      <w:r>
        <w:rPr>
          <w:rFonts w:hint="eastAsia"/>
          <w:color w:val="auto"/>
          <w:sz w:val="28"/>
          <w:szCs w:val="28"/>
          <w:highlight w:val="none"/>
        </w:rPr>
        <w:t xml:space="preserve">        </w:t>
      </w:r>
    </w:p>
    <w:p>
      <w:pPr>
        <w:spacing w:line="440" w:lineRule="exact"/>
        <w:rPr>
          <w:color w:val="auto"/>
          <w:sz w:val="28"/>
          <w:szCs w:val="28"/>
          <w:highlight w:val="none"/>
        </w:rPr>
      </w:pPr>
      <w:r>
        <w:rPr>
          <w:rFonts w:hint="eastAsia"/>
          <w:color w:val="auto"/>
          <w:sz w:val="28"/>
          <w:szCs w:val="28"/>
          <w:highlight w:val="none"/>
        </w:rPr>
        <w:t xml:space="preserve">                 法定代表人（或委托代理人）：</w:t>
      </w:r>
      <w:r>
        <w:rPr>
          <w:rFonts w:hint="eastAsia"/>
          <w:color w:val="auto"/>
          <w:sz w:val="28"/>
          <w:szCs w:val="28"/>
          <w:highlight w:val="none"/>
          <w:u w:val="single"/>
        </w:rPr>
        <w:t xml:space="preserve">               </w:t>
      </w:r>
      <w:r>
        <w:rPr>
          <w:rFonts w:hint="eastAsia"/>
          <w:color w:val="auto"/>
          <w:sz w:val="28"/>
          <w:szCs w:val="28"/>
          <w:highlight w:val="none"/>
        </w:rPr>
        <w:t>（签名）</w:t>
      </w:r>
    </w:p>
    <w:p>
      <w:pPr>
        <w:adjustRightInd w:val="0"/>
        <w:snapToGrid w:val="0"/>
        <w:spacing w:line="360" w:lineRule="auto"/>
        <w:rPr>
          <w:color w:val="auto"/>
          <w:sz w:val="28"/>
          <w:szCs w:val="28"/>
          <w:highlight w:val="none"/>
        </w:rPr>
      </w:pPr>
    </w:p>
    <w:p>
      <w:pPr>
        <w:spacing w:line="360" w:lineRule="auto"/>
        <w:ind w:left="560" w:hanging="560" w:hangingChars="200"/>
        <w:rPr>
          <w:color w:val="auto"/>
          <w:sz w:val="28"/>
          <w:szCs w:val="28"/>
          <w:highlight w:val="none"/>
        </w:rPr>
      </w:pPr>
      <w:r>
        <w:rPr>
          <w:rFonts w:hint="eastAsia"/>
          <w:color w:val="auto"/>
          <w:sz w:val="28"/>
          <w:szCs w:val="28"/>
          <w:highlight w:val="none"/>
        </w:rPr>
        <w:t xml:space="preserve">                 日期：</w:t>
      </w:r>
      <w:r>
        <w:rPr>
          <w:rFonts w:hint="eastAsia"/>
          <w:color w:val="auto"/>
          <w:sz w:val="28"/>
          <w:szCs w:val="28"/>
          <w:highlight w:val="none"/>
          <w:u w:val="single"/>
        </w:rPr>
        <w:t xml:space="preserve">      </w:t>
      </w:r>
      <w:r>
        <w:rPr>
          <w:rFonts w:hint="eastAsia"/>
          <w:color w:val="auto"/>
          <w:sz w:val="28"/>
          <w:szCs w:val="28"/>
          <w:highlight w:val="none"/>
        </w:rPr>
        <w:t xml:space="preserve">年 </w:t>
      </w:r>
      <w:r>
        <w:rPr>
          <w:rFonts w:hint="eastAsia"/>
          <w:color w:val="auto"/>
          <w:sz w:val="28"/>
          <w:szCs w:val="28"/>
          <w:highlight w:val="none"/>
          <w:u w:val="single"/>
        </w:rPr>
        <w:t xml:space="preserve">      </w:t>
      </w:r>
      <w:r>
        <w:rPr>
          <w:rFonts w:hint="eastAsia"/>
          <w:color w:val="auto"/>
          <w:sz w:val="28"/>
          <w:szCs w:val="28"/>
          <w:highlight w:val="none"/>
        </w:rPr>
        <w:t xml:space="preserve">月 </w:t>
      </w:r>
      <w:r>
        <w:rPr>
          <w:rFonts w:hint="eastAsia"/>
          <w:color w:val="auto"/>
          <w:sz w:val="28"/>
          <w:szCs w:val="28"/>
          <w:highlight w:val="none"/>
          <w:u w:val="single"/>
        </w:rPr>
        <w:t xml:space="preserve">      </w:t>
      </w:r>
      <w:r>
        <w:rPr>
          <w:rFonts w:hint="eastAsia"/>
          <w:color w:val="auto"/>
          <w:sz w:val="28"/>
          <w:szCs w:val="28"/>
          <w:highlight w:val="none"/>
        </w:rPr>
        <w:t>日</w:t>
      </w:r>
    </w:p>
    <w:p>
      <w:pPr>
        <w:keepNext/>
        <w:keepLines/>
        <w:adjustRightInd w:val="0"/>
        <w:spacing w:before="240" w:line="360" w:lineRule="auto"/>
        <w:jc w:val="center"/>
        <w:textAlignment w:val="baseline"/>
        <w:outlineLvl w:val="1"/>
        <w:rPr>
          <w:rFonts w:eastAsia="黑体"/>
          <w:b/>
          <w:color w:val="auto"/>
          <w:sz w:val="32"/>
          <w:szCs w:val="32"/>
          <w:highlight w:val="none"/>
        </w:rPr>
        <w:sectPr>
          <w:headerReference r:id="rId9" w:type="default"/>
          <w:pgSz w:w="11906" w:h="16838"/>
          <w:pgMar w:top="1440" w:right="1366" w:bottom="1440" w:left="1480" w:header="851" w:footer="992" w:gutter="0"/>
          <w:cols w:space="0" w:num="1"/>
          <w:titlePg/>
          <w:rtlGutter w:val="0"/>
          <w:docGrid w:type="lines" w:linePitch="312" w:charSpace="0"/>
        </w:sectPr>
      </w:pPr>
    </w:p>
    <w:p>
      <w:pPr>
        <w:keepNext/>
        <w:keepLines/>
        <w:adjustRightInd w:val="0"/>
        <w:spacing w:before="240" w:line="360" w:lineRule="auto"/>
        <w:jc w:val="center"/>
        <w:textAlignment w:val="baseline"/>
        <w:outlineLvl w:val="1"/>
        <w:rPr>
          <w:rFonts w:ascii="华文仿宋" w:hAnsi="华文仿宋" w:eastAsia="华文仿宋" w:cs="华文仿宋"/>
          <w:color w:val="auto"/>
          <w:sz w:val="28"/>
          <w:szCs w:val="28"/>
          <w:highlight w:val="none"/>
        </w:rPr>
      </w:pPr>
      <w:r>
        <w:rPr>
          <w:rFonts w:hint="eastAsia" w:ascii="方正小标宋简体" w:eastAsia="方正小标宋简体" w:cs="Times New Roman"/>
          <w:color w:val="auto"/>
          <w:kern w:val="10"/>
          <w:sz w:val="44"/>
          <w:szCs w:val="44"/>
          <w:highlight w:val="none"/>
        </w:rPr>
        <w:t>六、</w:t>
      </w:r>
      <w:bookmarkStart w:id="57" w:name="_Toc415501812"/>
      <w:bookmarkStart w:id="58" w:name="_Toc422384693"/>
      <w:r>
        <w:rPr>
          <w:rFonts w:hint="eastAsia" w:ascii="方正小标宋简体" w:eastAsia="方正小标宋简体" w:cs="Times New Roman"/>
          <w:color w:val="auto"/>
          <w:kern w:val="10"/>
          <w:sz w:val="44"/>
          <w:szCs w:val="44"/>
          <w:highlight w:val="none"/>
        </w:rPr>
        <w:t>保险服务供应商基本情况</w:t>
      </w:r>
      <w:bookmarkEnd w:id="57"/>
      <w:bookmarkEnd w:id="58"/>
    </w:p>
    <w:p>
      <w:pPr>
        <w:spacing w:line="440" w:lineRule="exact"/>
        <w:jc w:val="center"/>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保险服务供应商基本情况表</w:t>
      </w:r>
    </w:p>
    <w:tbl>
      <w:tblPr>
        <w:tblStyle w:val="31"/>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932"/>
        <w:gridCol w:w="224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名称</w:t>
            </w:r>
          </w:p>
        </w:tc>
        <w:tc>
          <w:tcPr>
            <w:tcW w:w="6096" w:type="dxa"/>
            <w:gridSpan w:val="3"/>
            <w:vAlign w:val="center"/>
          </w:tcPr>
          <w:p>
            <w:pPr>
              <w:pStyle w:val="77"/>
              <w:spacing w:line="400" w:lineRule="exact"/>
              <w:rPr>
                <w:rFonts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公司法定代表人</w:t>
            </w:r>
          </w:p>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（或负责人）</w:t>
            </w:r>
          </w:p>
        </w:tc>
        <w:tc>
          <w:tcPr>
            <w:tcW w:w="1932" w:type="dxa"/>
            <w:vAlign w:val="center"/>
          </w:tcPr>
          <w:p>
            <w:pPr>
              <w:pStyle w:val="77"/>
              <w:spacing w:line="400" w:lineRule="exact"/>
              <w:rPr>
                <w:rFonts w:ascii="华文仿宋" w:hAnsi="华文仿宋" w:eastAsia="华文仿宋" w:cs="华文仿宋"/>
                <w:color w:val="auto"/>
                <w:sz w:val="28"/>
                <w:szCs w:val="28"/>
                <w:highlight w:val="none"/>
              </w:rPr>
            </w:pPr>
          </w:p>
        </w:tc>
        <w:tc>
          <w:tcPr>
            <w:tcW w:w="2242"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成立日期</w:t>
            </w:r>
          </w:p>
        </w:tc>
        <w:tc>
          <w:tcPr>
            <w:tcW w:w="1922" w:type="dxa"/>
            <w:vAlign w:val="center"/>
          </w:tcPr>
          <w:p>
            <w:pPr>
              <w:pStyle w:val="77"/>
              <w:spacing w:line="400" w:lineRule="exact"/>
              <w:rPr>
                <w:rFonts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注册地址</w:t>
            </w:r>
          </w:p>
        </w:tc>
        <w:tc>
          <w:tcPr>
            <w:tcW w:w="6096" w:type="dxa"/>
            <w:gridSpan w:val="3"/>
            <w:vAlign w:val="center"/>
          </w:tcPr>
          <w:p>
            <w:pPr>
              <w:pStyle w:val="77"/>
              <w:spacing w:line="400" w:lineRule="exact"/>
              <w:rPr>
                <w:rFonts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主要营业范围</w:t>
            </w:r>
          </w:p>
        </w:tc>
        <w:tc>
          <w:tcPr>
            <w:tcW w:w="6096" w:type="dxa"/>
            <w:gridSpan w:val="3"/>
            <w:vAlign w:val="center"/>
          </w:tcPr>
          <w:p>
            <w:pPr>
              <w:pStyle w:val="77"/>
              <w:spacing w:line="400" w:lineRule="exact"/>
              <w:rPr>
                <w:rFonts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2239"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营业执照编号</w:t>
            </w:r>
          </w:p>
        </w:tc>
        <w:tc>
          <w:tcPr>
            <w:tcW w:w="1932" w:type="dxa"/>
            <w:vAlign w:val="center"/>
          </w:tcPr>
          <w:p>
            <w:pPr>
              <w:pStyle w:val="77"/>
              <w:spacing w:line="400" w:lineRule="exact"/>
              <w:rPr>
                <w:rFonts w:ascii="华文仿宋" w:hAnsi="华文仿宋" w:eastAsia="华文仿宋" w:cs="华文仿宋"/>
                <w:color w:val="auto"/>
                <w:sz w:val="28"/>
                <w:szCs w:val="28"/>
                <w:highlight w:val="none"/>
              </w:rPr>
            </w:pPr>
          </w:p>
        </w:tc>
        <w:tc>
          <w:tcPr>
            <w:tcW w:w="2242"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颁发机构</w:t>
            </w:r>
          </w:p>
        </w:tc>
        <w:tc>
          <w:tcPr>
            <w:tcW w:w="1922" w:type="dxa"/>
            <w:vAlign w:val="center"/>
          </w:tcPr>
          <w:p>
            <w:pPr>
              <w:pStyle w:val="77"/>
              <w:spacing w:line="400" w:lineRule="exact"/>
              <w:rPr>
                <w:rFonts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注册资本金</w:t>
            </w:r>
          </w:p>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（总公司）</w:t>
            </w:r>
          </w:p>
        </w:tc>
        <w:tc>
          <w:tcPr>
            <w:tcW w:w="1932" w:type="dxa"/>
            <w:vAlign w:val="center"/>
          </w:tcPr>
          <w:p>
            <w:pPr>
              <w:pStyle w:val="77"/>
              <w:spacing w:line="400" w:lineRule="exact"/>
              <w:rPr>
                <w:rFonts w:ascii="华文仿宋" w:hAnsi="华文仿宋" w:eastAsia="华文仿宋" w:cs="华文仿宋"/>
                <w:color w:val="auto"/>
                <w:sz w:val="28"/>
                <w:szCs w:val="28"/>
                <w:highlight w:val="none"/>
              </w:rPr>
            </w:pPr>
          </w:p>
        </w:tc>
        <w:tc>
          <w:tcPr>
            <w:tcW w:w="2242" w:type="dxa"/>
            <w:vAlign w:val="center"/>
          </w:tcPr>
          <w:p>
            <w:pPr>
              <w:pStyle w:val="77"/>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2021年度</w:t>
            </w:r>
          </w:p>
          <w:p>
            <w:pPr>
              <w:pStyle w:val="77"/>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偿付能力充足率</w:t>
            </w:r>
          </w:p>
        </w:tc>
        <w:tc>
          <w:tcPr>
            <w:tcW w:w="1922" w:type="dxa"/>
            <w:vAlign w:val="center"/>
          </w:tcPr>
          <w:p>
            <w:pPr>
              <w:pStyle w:val="77"/>
              <w:spacing w:line="400" w:lineRule="exact"/>
              <w:rPr>
                <w:rFonts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近</w:t>
            </w:r>
            <w:r>
              <w:rPr>
                <w:rFonts w:hint="eastAsia" w:ascii="华文仿宋" w:hAnsi="华文仿宋" w:eastAsia="华文仿宋" w:cs="华文仿宋"/>
                <w:color w:val="auto"/>
                <w:sz w:val="28"/>
                <w:szCs w:val="28"/>
                <w:highlight w:val="none"/>
                <w:lang w:val="en-US" w:eastAsia="zh-CN"/>
              </w:rPr>
              <w:t>一</w:t>
            </w:r>
            <w:r>
              <w:rPr>
                <w:rFonts w:hint="eastAsia" w:ascii="华文仿宋" w:hAnsi="华文仿宋" w:eastAsia="华文仿宋" w:cs="华文仿宋"/>
                <w:color w:val="auto"/>
                <w:sz w:val="28"/>
                <w:szCs w:val="28"/>
                <w:highlight w:val="none"/>
              </w:rPr>
              <w:t>年是否受到过</w:t>
            </w:r>
            <w:r>
              <w:rPr>
                <w:rFonts w:hint="eastAsia" w:ascii="华文仿宋" w:hAnsi="华文仿宋" w:eastAsia="华文仿宋" w:cs="华文仿宋"/>
                <w:color w:val="auto"/>
                <w:sz w:val="28"/>
                <w:szCs w:val="28"/>
                <w:highlight w:val="none"/>
                <w:lang w:val="en-US" w:eastAsia="zh-CN"/>
              </w:rPr>
              <w:t>监管部门</w:t>
            </w:r>
            <w:r>
              <w:rPr>
                <w:rFonts w:hint="eastAsia" w:ascii="华文仿宋" w:hAnsi="华文仿宋" w:eastAsia="华文仿宋" w:cs="华文仿宋"/>
                <w:color w:val="auto"/>
                <w:sz w:val="28"/>
                <w:szCs w:val="28"/>
                <w:highlight w:val="none"/>
              </w:rPr>
              <w:t>监管行政处罚</w:t>
            </w:r>
          </w:p>
        </w:tc>
        <w:tc>
          <w:tcPr>
            <w:tcW w:w="1932"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是/否</w:t>
            </w:r>
          </w:p>
        </w:tc>
        <w:tc>
          <w:tcPr>
            <w:tcW w:w="2242" w:type="dxa"/>
            <w:vAlign w:val="center"/>
          </w:tcPr>
          <w:p>
            <w:pPr>
              <w:pStyle w:val="77"/>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每一危险单位最大自留额</w:t>
            </w:r>
          </w:p>
        </w:tc>
        <w:tc>
          <w:tcPr>
            <w:tcW w:w="1922" w:type="dxa"/>
            <w:vAlign w:val="center"/>
          </w:tcPr>
          <w:p>
            <w:pPr>
              <w:pStyle w:val="77"/>
              <w:spacing w:line="400" w:lineRule="exact"/>
              <w:rPr>
                <w:rFonts w:ascii="华文仿宋" w:hAnsi="华文仿宋" w:eastAsia="华文仿宋" w:cs="华文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239"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电话/传真</w:t>
            </w:r>
          </w:p>
        </w:tc>
        <w:tc>
          <w:tcPr>
            <w:tcW w:w="1932" w:type="dxa"/>
            <w:vAlign w:val="center"/>
          </w:tcPr>
          <w:p>
            <w:pPr>
              <w:pStyle w:val="77"/>
              <w:spacing w:line="400" w:lineRule="exact"/>
              <w:rPr>
                <w:rFonts w:ascii="华文仿宋" w:hAnsi="华文仿宋" w:eastAsia="华文仿宋" w:cs="华文仿宋"/>
                <w:color w:val="auto"/>
                <w:sz w:val="28"/>
                <w:szCs w:val="28"/>
                <w:highlight w:val="none"/>
              </w:rPr>
            </w:pPr>
          </w:p>
        </w:tc>
        <w:tc>
          <w:tcPr>
            <w:tcW w:w="2242" w:type="dxa"/>
            <w:vAlign w:val="center"/>
          </w:tcPr>
          <w:p>
            <w:pPr>
              <w:pStyle w:val="77"/>
              <w:spacing w:line="400" w:lineRule="exact"/>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地址邮编</w:t>
            </w:r>
          </w:p>
        </w:tc>
        <w:tc>
          <w:tcPr>
            <w:tcW w:w="1922" w:type="dxa"/>
            <w:vAlign w:val="center"/>
          </w:tcPr>
          <w:p>
            <w:pPr>
              <w:pStyle w:val="77"/>
              <w:spacing w:line="400" w:lineRule="exact"/>
              <w:rPr>
                <w:rFonts w:ascii="华文仿宋" w:hAnsi="华文仿宋" w:eastAsia="华文仿宋" w:cs="华文仿宋"/>
                <w:color w:val="auto"/>
                <w:sz w:val="28"/>
                <w:szCs w:val="28"/>
                <w:highlight w:val="none"/>
              </w:rPr>
            </w:pPr>
          </w:p>
        </w:tc>
      </w:tr>
    </w:tbl>
    <w:p>
      <w:pPr>
        <w:adjustRightInd w:val="0"/>
        <w:snapToGrid w:val="0"/>
        <w:ind w:firstLine="560" w:firstLine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w:t>
      </w:r>
    </w:p>
    <w:p>
      <w:pPr>
        <w:spacing w:line="440" w:lineRule="exact"/>
        <w:rPr>
          <w:rFonts w:ascii="华文仿宋" w:hAnsi="华文仿宋" w:eastAsia="华文仿宋" w:cs="华文仿宋"/>
          <w:color w:val="auto"/>
          <w:sz w:val="28"/>
          <w:szCs w:val="28"/>
          <w:highlight w:val="none"/>
        </w:rPr>
      </w:pP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供应商：</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 xml:space="preserve">（盖章）  </w:t>
      </w: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 xml:space="preserve">        </w:t>
      </w: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法定代表人（或负责人）</w:t>
      </w:r>
    </w:p>
    <w:p>
      <w:pPr>
        <w:spacing w:line="360" w:lineRule="auto"/>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或委托代理人：</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（签名）</w:t>
      </w:r>
    </w:p>
    <w:p>
      <w:pPr>
        <w:pStyle w:val="78"/>
        <w:adjustRightInd w:val="0"/>
        <w:snapToGrid w:val="0"/>
        <w:spacing w:line="360" w:lineRule="auto"/>
        <w:rPr>
          <w:rFonts w:ascii="华文仿宋" w:hAnsi="华文仿宋" w:eastAsia="华文仿宋" w:cs="华文仿宋"/>
          <w:b w:val="0"/>
          <w:color w:val="auto"/>
          <w:sz w:val="28"/>
          <w:szCs w:val="28"/>
          <w:highlight w:val="none"/>
        </w:rPr>
      </w:pPr>
    </w:p>
    <w:p>
      <w:pPr>
        <w:spacing w:line="360" w:lineRule="auto"/>
        <w:ind w:left="560" w:hanging="560" w:hangingChars="200"/>
        <w:rPr>
          <w:rFonts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日期：</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 xml:space="preserve">年 </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 xml:space="preserve">月 </w:t>
      </w:r>
      <w:r>
        <w:rPr>
          <w:rFonts w:hint="eastAsia" w:ascii="华文仿宋" w:hAnsi="华文仿宋" w:eastAsia="华文仿宋" w:cs="华文仿宋"/>
          <w:color w:val="auto"/>
          <w:sz w:val="28"/>
          <w:szCs w:val="28"/>
          <w:highlight w:val="none"/>
          <w:u w:val="single"/>
        </w:rPr>
        <w:t xml:space="preserve">      </w:t>
      </w:r>
      <w:r>
        <w:rPr>
          <w:rFonts w:hint="eastAsia" w:ascii="华文仿宋" w:hAnsi="华文仿宋" w:eastAsia="华文仿宋" w:cs="华文仿宋"/>
          <w:color w:val="auto"/>
          <w:sz w:val="28"/>
          <w:szCs w:val="28"/>
          <w:highlight w:val="none"/>
        </w:rPr>
        <w:t>日</w:t>
      </w:r>
    </w:p>
    <w:p>
      <w:pPr>
        <w:adjustRightInd w:val="0"/>
        <w:snapToGrid w:val="0"/>
        <w:rPr>
          <w:rFonts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rPr>
        <w:t>表后应附：</w:t>
      </w:r>
    </w:p>
    <w:p>
      <w:pPr>
        <w:adjustRightInd w:val="0"/>
        <w:snapToGrid w:val="0"/>
        <w:ind w:firstLine="561" w:firstLineChars="200"/>
        <w:rPr>
          <w:rFonts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rPr>
        <w:t>（1）保险服务供应商营业执照副本复印件（加盖公章）；</w:t>
      </w:r>
    </w:p>
    <w:p>
      <w:pPr>
        <w:adjustRightInd w:val="0"/>
        <w:snapToGrid w:val="0"/>
        <w:ind w:firstLine="561" w:firstLineChars="200"/>
        <w:rPr>
          <w:rFonts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rPr>
        <w:t>（2）保险服务供应商保险业务许可证复印件（加盖公章）；</w:t>
      </w:r>
    </w:p>
    <w:p>
      <w:pPr>
        <w:adjustRightInd w:val="0"/>
        <w:snapToGrid w:val="0"/>
        <w:ind w:firstLine="561" w:firstLineChars="200"/>
        <w:rPr>
          <w:rFonts w:ascii="华文仿宋" w:hAnsi="华文仿宋" w:eastAsia="华文仿宋" w:cs="华文仿宋"/>
          <w:b/>
          <w:color w:val="auto"/>
          <w:sz w:val="28"/>
          <w:szCs w:val="28"/>
          <w:highlight w:val="none"/>
        </w:rPr>
      </w:pPr>
      <w:r>
        <w:rPr>
          <w:rFonts w:hint="eastAsia" w:ascii="华文仿宋" w:hAnsi="华文仿宋" w:eastAsia="华文仿宋" w:cs="华文仿宋"/>
          <w:b/>
          <w:color w:val="auto"/>
          <w:sz w:val="28"/>
          <w:szCs w:val="28"/>
          <w:highlight w:val="none"/>
        </w:rPr>
        <w:t>（3）保险服务供应商注册资本金证明文件；</w:t>
      </w:r>
    </w:p>
    <w:p>
      <w:pPr>
        <w:adjustRightInd w:val="0"/>
        <w:snapToGrid w:val="0"/>
        <w:ind w:firstLine="561" w:firstLineChars="200"/>
        <w:rPr>
          <w:rFonts w:ascii="方正小标宋简体" w:eastAsia="方正小标宋简体" w:cs="Times New Roman"/>
          <w:color w:val="auto"/>
          <w:kern w:val="10"/>
          <w:sz w:val="44"/>
          <w:szCs w:val="44"/>
          <w:highlight w:val="none"/>
        </w:rPr>
      </w:pPr>
      <w:r>
        <w:rPr>
          <w:rFonts w:hint="eastAsia" w:ascii="华文仿宋" w:hAnsi="华文仿宋" w:eastAsia="华文仿宋" w:cs="华文仿宋"/>
          <w:b/>
          <w:color w:val="auto"/>
          <w:sz w:val="28"/>
          <w:szCs w:val="28"/>
          <w:highlight w:val="none"/>
        </w:rPr>
        <w:t>（4）保险服务供应商（总公司）经审计财务报表（账务报表至少包含资产负债表、利润表、现金流量表））、偿付能力报告（加盖公章）。</w:t>
      </w:r>
    </w:p>
    <w:p>
      <w:pPr>
        <w:keepNext/>
        <w:keepLines/>
        <w:adjustRightInd w:val="0"/>
        <w:spacing w:before="240" w:line="360" w:lineRule="auto"/>
        <w:jc w:val="center"/>
        <w:textAlignment w:val="baseline"/>
        <w:outlineLvl w:val="1"/>
        <w:rPr>
          <w:rFonts w:ascii="方正小标宋简体" w:eastAsia="方正小标宋简体" w:cs="Times New Roman"/>
          <w:color w:val="auto"/>
          <w:kern w:val="10"/>
          <w:sz w:val="44"/>
          <w:szCs w:val="44"/>
          <w:highlight w:val="none"/>
        </w:rPr>
      </w:pPr>
      <w:r>
        <w:rPr>
          <w:rFonts w:hint="eastAsia" w:ascii="方正小标宋简体" w:eastAsia="方正小标宋简体" w:cs="Times New Roman"/>
          <w:color w:val="auto"/>
          <w:kern w:val="10"/>
          <w:sz w:val="44"/>
          <w:szCs w:val="44"/>
          <w:highlight w:val="none"/>
        </w:rPr>
        <w:t>七、</w:t>
      </w:r>
      <w:r>
        <w:rPr>
          <w:rFonts w:hint="eastAsia" w:ascii="方正小标宋简体" w:eastAsia="方正小标宋简体" w:cs="Times New Roman"/>
          <w:color w:val="auto"/>
          <w:kern w:val="10"/>
          <w:sz w:val="44"/>
          <w:szCs w:val="44"/>
          <w:highlight w:val="none"/>
          <w:lang w:val="en-US" w:eastAsia="zh-CN"/>
        </w:rPr>
        <w:t>服务</w:t>
      </w:r>
      <w:r>
        <w:rPr>
          <w:rFonts w:hint="eastAsia" w:ascii="方正小标宋简体" w:eastAsia="方正小标宋简体" w:cs="Times New Roman"/>
          <w:color w:val="auto"/>
          <w:kern w:val="10"/>
          <w:sz w:val="44"/>
          <w:szCs w:val="44"/>
          <w:highlight w:val="none"/>
        </w:rPr>
        <w:t>方案</w:t>
      </w:r>
    </w:p>
    <w:p>
      <w:pPr>
        <w:rPr>
          <w:rFonts w:ascii="Calibri" w:hAnsi="Calibri" w:cs="黑体"/>
          <w:color w:val="auto"/>
          <w:highlight w:val="none"/>
        </w:rPr>
      </w:pPr>
    </w:p>
    <w:p>
      <w:pPr>
        <w:adjustRightInd w:val="0"/>
        <w:snapToGrid w:val="0"/>
        <w:ind w:firstLine="528" w:firstLineChars="200"/>
        <w:rPr>
          <w:bCs/>
          <w:color w:val="auto"/>
          <w:spacing w:val="-8"/>
          <w:sz w:val="28"/>
          <w:szCs w:val="28"/>
          <w:highlight w:val="none"/>
        </w:rPr>
      </w:pPr>
      <w:bookmarkStart w:id="59" w:name="_Toc20864"/>
      <w:bookmarkStart w:id="60" w:name="_Toc170795947"/>
      <w:r>
        <w:rPr>
          <w:rFonts w:hint="eastAsia"/>
          <w:bCs/>
          <w:color w:val="auto"/>
          <w:spacing w:val="-8"/>
          <w:sz w:val="28"/>
          <w:szCs w:val="28"/>
          <w:highlight w:val="none"/>
        </w:rPr>
        <w:t>根据本次采购项目内容，供应商提出具体的方案。包括但不限于以下内容：</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管理费报价及收取方式</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产品介绍及服务方案</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理赔服务流程及平台</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理赔时限，分线上线下时限</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服务渠道，具体签约医院、药店，全国及广西签约医院、药店具体家数</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服务团队、可上门服务地市</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数据查询与技术支撑</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企业健康委托管理案例</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资质</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本机构主要优势</w:t>
      </w:r>
    </w:p>
    <w:p>
      <w:pPr>
        <w:numPr>
          <w:ilvl w:val="0"/>
          <w:numId w:val="9"/>
        </w:numPr>
        <w:adjustRightInd w:val="0"/>
        <w:snapToGrid w:val="0"/>
        <w:rPr>
          <w:bCs/>
          <w:color w:val="auto"/>
          <w:spacing w:val="-8"/>
          <w:sz w:val="28"/>
          <w:szCs w:val="28"/>
          <w:highlight w:val="none"/>
        </w:rPr>
      </w:pPr>
      <w:r>
        <w:rPr>
          <w:rFonts w:hint="eastAsia"/>
          <w:bCs/>
          <w:color w:val="auto"/>
          <w:spacing w:val="-8"/>
          <w:sz w:val="28"/>
          <w:szCs w:val="28"/>
          <w:highlight w:val="none"/>
        </w:rPr>
        <w:t>扩大保障范围、基金增值服务方案</w:t>
      </w:r>
    </w:p>
    <w:p>
      <w:pPr>
        <w:adjustRightInd w:val="0"/>
        <w:snapToGrid w:val="0"/>
        <w:ind w:left="1293"/>
        <w:rPr>
          <w:bCs/>
          <w:color w:val="auto"/>
          <w:spacing w:val="-8"/>
          <w:sz w:val="28"/>
          <w:szCs w:val="28"/>
          <w:highlight w:val="none"/>
        </w:rPr>
      </w:pPr>
    </w:p>
    <w:p>
      <w:pPr>
        <w:adjustRightInd w:val="0"/>
        <w:snapToGrid w:val="0"/>
        <w:ind w:firstLine="528" w:firstLineChars="200"/>
        <w:rPr>
          <w:bCs/>
          <w:color w:val="auto"/>
          <w:spacing w:val="-8"/>
          <w:sz w:val="28"/>
          <w:szCs w:val="28"/>
          <w:highlight w:val="none"/>
        </w:rPr>
      </w:pPr>
    </w:p>
    <w:p>
      <w:pPr>
        <w:adjustRightInd w:val="0"/>
        <w:snapToGrid w:val="0"/>
        <w:ind w:firstLine="528" w:firstLineChars="200"/>
        <w:rPr>
          <w:bCs/>
          <w:color w:val="auto"/>
          <w:spacing w:val="-8"/>
          <w:sz w:val="28"/>
          <w:szCs w:val="28"/>
          <w:highlight w:val="none"/>
        </w:rPr>
      </w:pPr>
    </w:p>
    <w:p>
      <w:pPr>
        <w:adjustRightInd w:val="0"/>
        <w:snapToGrid w:val="0"/>
        <w:ind w:firstLine="528" w:firstLineChars="200"/>
        <w:rPr>
          <w:bCs/>
          <w:color w:val="auto"/>
          <w:spacing w:val="-8"/>
          <w:sz w:val="28"/>
          <w:szCs w:val="28"/>
          <w:highlight w:val="none"/>
        </w:rPr>
      </w:pPr>
    </w:p>
    <w:p>
      <w:pPr>
        <w:keepNext/>
        <w:keepLines/>
        <w:adjustRightInd w:val="0"/>
        <w:spacing w:before="240" w:line="360" w:lineRule="auto"/>
        <w:jc w:val="center"/>
        <w:textAlignment w:val="baseline"/>
        <w:outlineLvl w:val="1"/>
        <w:rPr>
          <w:rFonts w:ascii="方正小标宋简体" w:eastAsia="方正小标宋简体" w:cs="Times New Roman"/>
          <w:color w:val="auto"/>
          <w:kern w:val="10"/>
          <w:sz w:val="44"/>
          <w:szCs w:val="44"/>
          <w:highlight w:val="none"/>
        </w:rPr>
      </w:pPr>
      <w:r>
        <w:rPr>
          <w:rFonts w:hint="eastAsia" w:ascii="方正小标宋简体" w:eastAsia="方正小标宋简体" w:cs="Times New Roman"/>
          <w:color w:val="auto"/>
          <w:kern w:val="10"/>
          <w:sz w:val="44"/>
          <w:szCs w:val="44"/>
          <w:highlight w:val="none"/>
        </w:rPr>
        <w:t>八、服务承诺</w:t>
      </w:r>
    </w:p>
    <w:p>
      <w:pPr>
        <w:adjustRightInd w:val="0"/>
        <w:snapToGrid w:val="0"/>
        <w:ind w:firstLine="530" w:firstLineChars="200"/>
        <w:rPr>
          <w:b/>
          <w:color w:val="auto"/>
          <w:spacing w:val="-8"/>
          <w:sz w:val="28"/>
          <w:szCs w:val="28"/>
          <w:highlight w:val="none"/>
        </w:rPr>
      </w:pPr>
    </w:p>
    <w:p>
      <w:pPr>
        <w:adjustRightInd w:val="0"/>
        <w:snapToGrid w:val="0"/>
        <w:ind w:firstLine="528" w:firstLineChars="200"/>
        <w:rPr>
          <w:bCs/>
          <w:color w:val="auto"/>
          <w:spacing w:val="-8"/>
          <w:sz w:val="28"/>
          <w:szCs w:val="28"/>
          <w:highlight w:val="none"/>
        </w:rPr>
      </w:pPr>
      <w:r>
        <w:rPr>
          <w:rFonts w:hint="eastAsia"/>
          <w:bCs/>
          <w:color w:val="auto"/>
          <w:spacing w:val="-8"/>
          <w:sz w:val="28"/>
          <w:szCs w:val="28"/>
          <w:highlight w:val="none"/>
        </w:rPr>
        <w:t>根据本次采购项目内容，供应商提出具体的服务承诺。</w:t>
      </w:r>
    </w:p>
    <w:p>
      <w:pPr>
        <w:adjustRightInd w:val="0"/>
        <w:snapToGrid w:val="0"/>
        <w:ind w:firstLine="528" w:firstLineChars="200"/>
        <w:rPr>
          <w:bCs/>
          <w:color w:val="auto"/>
          <w:spacing w:val="-8"/>
          <w:sz w:val="28"/>
          <w:szCs w:val="28"/>
          <w:highlight w:val="none"/>
        </w:rPr>
      </w:pPr>
    </w:p>
    <w:p>
      <w:pPr>
        <w:adjustRightInd w:val="0"/>
        <w:snapToGrid w:val="0"/>
        <w:ind w:firstLine="528" w:firstLineChars="200"/>
        <w:rPr>
          <w:bCs/>
          <w:color w:val="auto"/>
          <w:spacing w:val="-8"/>
          <w:sz w:val="28"/>
          <w:szCs w:val="28"/>
          <w:highlight w:val="none"/>
        </w:rPr>
      </w:pPr>
    </w:p>
    <w:p>
      <w:pPr>
        <w:adjustRightInd w:val="0"/>
        <w:snapToGrid w:val="0"/>
        <w:ind w:firstLine="530" w:firstLineChars="200"/>
        <w:rPr>
          <w:b/>
          <w:color w:val="auto"/>
          <w:spacing w:val="-8"/>
          <w:sz w:val="28"/>
          <w:szCs w:val="28"/>
          <w:highlight w:val="none"/>
        </w:rPr>
      </w:pPr>
    </w:p>
    <w:p>
      <w:pPr>
        <w:keepNext/>
        <w:keepLines/>
        <w:adjustRightInd w:val="0"/>
        <w:spacing w:before="240" w:line="360" w:lineRule="auto"/>
        <w:jc w:val="center"/>
        <w:textAlignment w:val="baseline"/>
        <w:outlineLvl w:val="1"/>
        <w:rPr>
          <w:rFonts w:ascii="方正小标宋简体" w:eastAsia="方正小标宋简体" w:cs="Times New Roman"/>
          <w:color w:val="auto"/>
          <w:kern w:val="10"/>
          <w:sz w:val="44"/>
          <w:szCs w:val="44"/>
          <w:highlight w:val="none"/>
        </w:rPr>
      </w:pPr>
      <w:r>
        <w:rPr>
          <w:rFonts w:hint="eastAsia" w:ascii="方正小标宋简体" w:eastAsia="方正小标宋简体" w:cs="Times New Roman"/>
          <w:color w:val="auto"/>
          <w:kern w:val="10"/>
          <w:sz w:val="44"/>
          <w:szCs w:val="44"/>
          <w:highlight w:val="none"/>
        </w:rPr>
        <w:t>九、其他资格证明资料</w:t>
      </w:r>
      <w:bookmarkEnd w:id="59"/>
    </w:p>
    <w:p>
      <w:pPr>
        <w:rPr>
          <w:bCs/>
          <w:color w:val="auto"/>
          <w:sz w:val="28"/>
          <w:szCs w:val="28"/>
          <w:highlight w:val="none"/>
        </w:rPr>
      </w:pPr>
    </w:p>
    <w:bookmarkEnd w:id="60"/>
    <w:p>
      <w:pPr>
        <w:spacing w:line="560" w:lineRule="exact"/>
        <w:rPr>
          <w:bCs/>
          <w:color w:val="auto"/>
          <w:sz w:val="28"/>
          <w:szCs w:val="28"/>
          <w:highlight w:val="none"/>
        </w:rPr>
      </w:pPr>
      <w:r>
        <w:rPr>
          <w:rFonts w:hint="eastAsia"/>
          <w:bCs/>
          <w:color w:val="auto"/>
          <w:sz w:val="28"/>
          <w:szCs w:val="28"/>
          <w:highlight w:val="none"/>
        </w:rPr>
        <w:t>（一）依法缴纳税收和社会保障资金的相关材料</w:t>
      </w:r>
    </w:p>
    <w:p>
      <w:pPr>
        <w:spacing w:line="560" w:lineRule="exact"/>
        <w:rPr>
          <w:bCs/>
          <w:color w:val="auto"/>
          <w:sz w:val="28"/>
          <w:szCs w:val="28"/>
          <w:highlight w:val="none"/>
        </w:rPr>
      </w:pPr>
      <w:r>
        <w:rPr>
          <w:rFonts w:hint="eastAsia"/>
          <w:bCs/>
          <w:color w:val="auto"/>
          <w:sz w:val="28"/>
          <w:szCs w:val="28"/>
          <w:highlight w:val="none"/>
        </w:rPr>
        <w:t>（二）供应商近三年类似项目业绩情况表(附：证明文件)</w:t>
      </w:r>
    </w:p>
    <w:p>
      <w:pPr>
        <w:spacing w:line="560" w:lineRule="exact"/>
        <w:rPr>
          <w:bCs/>
          <w:color w:val="auto"/>
          <w:sz w:val="28"/>
          <w:szCs w:val="28"/>
          <w:highlight w:val="none"/>
        </w:rPr>
      </w:pPr>
      <w:r>
        <w:rPr>
          <w:rFonts w:hint="eastAsia"/>
          <w:bCs/>
          <w:color w:val="auto"/>
          <w:sz w:val="28"/>
          <w:szCs w:val="28"/>
          <w:highlight w:val="none"/>
        </w:rPr>
        <w:t>（三）具备履行合同所必需的服务能力承诺书；</w:t>
      </w:r>
    </w:p>
    <w:p>
      <w:pPr>
        <w:pStyle w:val="12"/>
        <w:rPr>
          <w:color w:val="auto"/>
          <w:highlight w:val="none"/>
        </w:rPr>
      </w:pPr>
      <w:r>
        <w:rPr>
          <w:rFonts w:hint="eastAsia" w:ascii="宋体" w:hAnsi="宋体" w:cs="宋体"/>
          <w:bCs/>
          <w:color w:val="auto"/>
          <w:sz w:val="28"/>
          <w:szCs w:val="28"/>
          <w:highlight w:val="none"/>
        </w:rPr>
        <w:t>（四）供应商如实提供信用书面声明及在“信用中国”网站（www.creditchina.gov.cn）或“中国政府采购网”（www.ccgp.gov.cn）信用记录查询结果完整截图并加盖单位公章；</w:t>
      </w:r>
    </w:p>
    <w:p>
      <w:pPr>
        <w:spacing w:line="560" w:lineRule="exact"/>
        <w:rPr>
          <w:bCs/>
          <w:color w:val="auto"/>
          <w:sz w:val="28"/>
          <w:szCs w:val="28"/>
          <w:highlight w:val="none"/>
        </w:rPr>
      </w:pPr>
      <w:r>
        <w:rPr>
          <w:rFonts w:hint="eastAsia"/>
          <w:bCs/>
          <w:color w:val="auto"/>
          <w:sz w:val="28"/>
          <w:szCs w:val="28"/>
          <w:highlight w:val="none"/>
        </w:rPr>
        <w:t>（五）供应商参加采购活动前三年内在经营活动中没有重大违法记录的书面声明原件；</w:t>
      </w:r>
    </w:p>
    <w:p>
      <w:pPr>
        <w:spacing w:line="560" w:lineRule="exact"/>
        <w:rPr>
          <w:bCs/>
          <w:color w:val="auto"/>
          <w:sz w:val="28"/>
          <w:szCs w:val="28"/>
          <w:highlight w:val="none"/>
        </w:rPr>
      </w:pPr>
      <w:r>
        <w:rPr>
          <w:rFonts w:hint="eastAsia"/>
          <w:bCs/>
          <w:color w:val="auto"/>
          <w:sz w:val="28"/>
          <w:szCs w:val="28"/>
          <w:highlight w:val="none"/>
        </w:rPr>
        <w:t>（六）其他供应商认为有必要提供的内容</w:t>
      </w:r>
    </w:p>
    <w:p>
      <w:pPr>
        <w:rPr>
          <w:bCs/>
          <w:color w:val="auto"/>
          <w:sz w:val="28"/>
          <w:szCs w:val="28"/>
          <w:highlight w:val="none"/>
        </w:rPr>
      </w:pPr>
    </w:p>
    <w:sectPr>
      <w:headerReference r:id="rId10" w:type="first"/>
      <w:footerReference r:id="rId12" w:type="first"/>
      <w:footerReference r:id="rId11" w:type="even"/>
      <w:pgSz w:w="11907" w:h="16840"/>
      <w:pgMar w:top="1134" w:right="1134" w:bottom="1021"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Arial Unicode MS">
    <w:altName w:val="Arial"/>
    <w:panose1 w:val="020B0604020202020204"/>
    <w:charset w:val="80"/>
    <w:family w:val="modern"/>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3F" w:usb3="00000000" w:csb0="003F01FF"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Arial Unicode MS">
    <w:altName w:val="宋体"/>
    <w:panose1 w:val="020B0604020202020204"/>
    <w:charset w:val="86"/>
    <w:family w:val="decorative"/>
    <w:pitch w:val="default"/>
    <w:sig w:usb0="00000000" w:usb1="00000000" w:usb2="0000003F" w:usb3="00000000" w:csb0="003F01F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altName w:val="Arial"/>
    <w:panose1 w:val="020B0604020202020204"/>
    <w:charset w:val="80"/>
    <w:family w:val="decorative"/>
    <w:pitch w:val="default"/>
    <w:sig w:usb0="00000000" w:usb1="00000000" w:usb2="0000003F" w:usb3="00000000" w:csb0="003F01FF"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003F01F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Unicode MS">
    <w:altName w:val="Arial"/>
    <w:panose1 w:val="020B0604020202020204"/>
    <w:charset w:val="80"/>
    <w:family w:val="roman"/>
    <w:pitch w:val="default"/>
    <w:sig w:usb0="00000000" w:usb1="00000000" w:usb2="0000003F" w:usb3="00000000" w:csb0="003F01FF"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Arial Unicode MS">
    <w:altName w:val="宋体"/>
    <w:panose1 w:val="020B0604020202020204"/>
    <w:charset w:val="86"/>
    <w:family w:val="modern"/>
    <w:pitch w:val="default"/>
    <w:sig w:usb0="00000000" w:usb1="00000000" w:usb2="0000003F" w:usb3="00000000" w:csb0="003F01F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center"/>
    </w:pPr>
    <w:r>
      <w:fldChar w:fldCharType="begin"/>
    </w:r>
    <w:r>
      <w:instrText xml:space="preserve"> PAGE   \* MERGEFORMAT </w:instrText>
    </w:r>
    <w:r>
      <w:fldChar w:fldCharType="separate"/>
    </w:r>
    <w:r>
      <w:rPr>
        <w:lang w:val="zh-CN"/>
      </w:rPr>
      <w:t>9</w:t>
    </w:r>
    <w:r>
      <w:fldChar w:fldCharType="end"/>
    </w:r>
  </w:p>
  <w: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framePr w:wrap="around" w:vAnchor="text" w:hAnchor="margin" w:xAlign="center" w:y="1"/>
      <w:rPr>
        <w:rStyle w:val="26"/>
      </w:rPr>
    </w:pPr>
    <w:r>
      <w:fldChar w:fldCharType="begin"/>
    </w:r>
    <w:r>
      <w:rPr>
        <w:rStyle w:val="26"/>
      </w:rPr>
      <w:instrText xml:space="preserve">PAGE  </w:instrText>
    </w:r>
    <w:r>
      <w:fldChar w:fldCharType="end"/>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8"/>
      <w:jc w:val="right"/>
    </w:pPr>
    <w:r>
      <w:rPr>
        <w:rFonts w:hint="eastAsia"/>
      </w:rPr>
      <w:t>浙江省成套工程有限公司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9"/>
      <w:pBdr>
        <w:bottom w:val="none" w:color="auto" w:sz="0" w:space="0"/>
      </w:pBdr>
      <w:tabs>
        <w:tab w:val="left" w:pos="1159"/>
        <w:tab w:val="clear" w:pos="4153"/>
        <w:tab w:val="clear" w:pos="8306"/>
      </w:tabs>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9"/>
      <w:pBdr>
        <w:bottom w:val="single" w:color="auto" w:sz="6" w:space="0"/>
      </w:pBdr>
      <w:tabs>
        <w:tab w:val="left" w:pos="1159"/>
        <w:tab w:val="clear" w:pos="4153"/>
        <w:tab w:val="clear" w:pos="8306"/>
      </w:tabs>
      <w:jc w:val="both"/>
    </w:pPr>
    <w:r>
      <w:rPr>
        <w:rFonts w:hint="eastAsia"/>
      </w:rPr>
      <w:t>浙</w:t>
    </w:r>
    <w:r>
      <w:t xml:space="preserve"> </w:t>
    </w:r>
    <w:r>
      <w:fldChar w:fldCharType="begin"/>
    </w:r>
    <w:r>
      <w:instrText xml:space="preserve"> PAGE </w:instrText>
    </w:r>
    <w:r>
      <w:fldChar w:fldCharType="separate"/>
    </w:r>
    <w: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8921596">
    <w:nsid w:val="62E1227C"/>
    <w:multiLevelType w:val="singleLevel"/>
    <w:tmpl w:val="62E1227C"/>
    <w:lvl w:ilvl="0" w:tentative="1">
      <w:start w:val="5"/>
      <w:numFmt w:val="chineseCounting"/>
      <w:suff w:val="nothing"/>
      <w:lvlText w:val="（%1）"/>
      <w:lvlJc w:val="left"/>
    </w:lvl>
  </w:abstractNum>
  <w:abstractNum w:abstractNumId="1658722395">
    <w:nsid w:val="62DE185B"/>
    <w:multiLevelType w:val="singleLevel"/>
    <w:tmpl w:val="62DE185B"/>
    <w:lvl w:ilvl="0" w:tentative="1">
      <w:start w:val="1"/>
      <w:numFmt w:val="decimal"/>
      <w:suff w:val="nothing"/>
      <w:lvlText w:val="%1）"/>
      <w:lvlJc w:val="left"/>
    </w:lvl>
  </w:abstractNum>
  <w:abstractNum w:abstractNumId="1658736285">
    <w:nsid w:val="62DE4E9D"/>
    <w:multiLevelType w:val="singleLevel"/>
    <w:tmpl w:val="62DE4E9D"/>
    <w:lvl w:ilvl="0" w:tentative="1">
      <w:start w:val="1"/>
      <w:numFmt w:val="decimal"/>
      <w:suff w:val="nothing"/>
      <w:lvlText w:val="(%1)"/>
      <w:lvlJc w:val="left"/>
    </w:lvl>
  </w:abstractNum>
  <w:abstractNum w:abstractNumId="1659003863">
    <w:nsid w:val="62E263D7"/>
    <w:multiLevelType w:val="singleLevel"/>
    <w:tmpl w:val="62E263D7"/>
    <w:lvl w:ilvl="0" w:tentative="1">
      <w:start w:val="2"/>
      <w:numFmt w:val="decimal"/>
      <w:suff w:val="nothing"/>
      <w:lvlText w:val="%1."/>
      <w:lvlJc w:val="left"/>
    </w:lvl>
  </w:abstractNum>
  <w:abstractNum w:abstractNumId="130176943">
    <w:nsid w:val="07C257AF"/>
    <w:multiLevelType w:val="multilevel"/>
    <w:tmpl w:val="07C257AF"/>
    <w:lvl w:ilvl="0" w:tentative="1">
      <w:start w:val="1"/>
      <w:numFmt w:val="japaneseCounting"/>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99814925">
    <w:nsid w:val="29B6540D"/>
    <w:multiLevelType w:val="multilevel"/>
    <w:tmpl w:val="29B6540D"/>
    <w:lvl w:ilvl="0" w:tentative="1">
      <w:start w:val="1"/>
      <w:numFmt w:val="japaneseCounting"/>
      <w:lvlText w:val="（%1）"/>
      <w:lvlJc w:val="left"/>
      <w:pPr>
        <w:ind w:left="1293" w:hanging="765"/>
      </w:pPr>
      <w:rPr>
        <w:rFonts w:hint="default"/>
        <w:lang w:val="en-US"/>
      </w:rPr>
    </w:lvl>
    <w:lvl w:ilvl="1" w:tentative="1">
      <w:start w:val="1"/>
      <w:numFmt w:val="lowerLetter"/>
      <w:lvlText w:val="%2)"/>
      <w:lvlJc w:val="left"/>
      <w:pPr>
        <w:ind w:left="1368" w:hanging="420"/>
      </w:pPr>
    </w:lvl>
    <w:lvl w:ilvl="2" w:tentative="1">
      <w:start w:val="1"/>
      <w:numFmt w:val="lowerRoman"/>
      <w:lvlText w:val="%3."/>
      <w:lvlJc w:val="right"/>
      <w:pPr>
        <w:ind w:left="1788" w:hanging="420"/>
      </w:pPr>
    </w:lvl>
    <w:lvl w:ilvl="3" w:tentative="1">
      <w:start w:val="1"/>
      <w:numFmt w:val="decimal"/>
      <w:lvlText w:val="%4."/>
      <w:lvlJc w:val="left"/>
      <w:pPr>
        <w:ind w:left="2208" w:hanging="420"/>
      </w:pPr>
    </w:lvl>
    <w:lvl w:ilvl="4" w:tentative="1">
      <w:start w:val="1"/>
      <w:numFmt w:val="lowerLetter"/>
      <w:lvlText w:val="%5)"/>
      <w:lvlJc w:val="left"/>
      <w:pPr>
        <w:ind w:left="2628" w:hanging="420"/>
      </w:pPr>
    </w:lvl>
    <w:lvl w:ilvl="5" w:tentative="1">
      <w:start w:val="1"/>
      <w:numFmt w:val="lowerRoman"/>
      <w:lvlText w:val="%6."/>
      <w:lvlJc w:val="right"/>
      <w:pPr>
        <w:ind w:left="3048" w:hanging="420"/>
      </w:pPr>
    </w:lvl>
    <w:lvl w:ilvl="6" w:tentative="1">
      <w:start w:val="1"/>
      <w:numFmt w:val="decimal"/>
      <w:lvlText w:val="%7."/>
      <w:lvlJc w:val="left"/>
      <w:pPr>
        <w:ind w:left="3468" w:hanging="420"/>
      </w:pPr>
    </w:lvl>
    <w:lvl w:ilvl="7" w:tentative="1">
      <w:start w:val="1"/>
      <w:numFmt w:val="lowerLetter"/>
      <w:lvlText w:val="%8)"/>
      <w:lvlJc w:val="left"/>
      <w:pPr>
        <w:ind w:left="3888" w:hanging="420"/>
      </w:pPr>
    </w:lvl>
    <w:lvl w:ilvl="8" w:tentative="1">
      <w:start w:val="1"/>
      <w:numFmt w:val="lowerRoman"/>
      <w:lvlText w:val="%9."/>
      <w:lvlJc w:val="right"/>
      <w:pPr>
        <w:ind w:left="4308" w:hanging="420"/>
      </w:pPr>
    </w:lvl>
  </w:abstractNum>
  <w:abstractNum w:abstractNumId="2055956203">
    <w:nsid w:val="7A8B66EB"/>
    <w:multiLevelType w:val="multilevel"/>
    <w:tmpl w:val="7A8B66EB"/>
    <w:lvl w:ilvl="0" w:tentative="1">
      <w:start w:val="4"/>
      <w:numFmt w:val="decimal"/>
      <w:lvlText w:val="%1、"/>
      <w:lvlJc w:val="left"/>
      <w:pPr>
        <w:ind w:left="1080" w:hanging="36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1669461743">
    <w:nsid w:val="6381F6EF"/>
    <w:multiLevelType w:val="singleLevel"/>
    <w:tmpl w:val="6381F6EF"/>
    <w:lvl w:ilvl="0" w:tentative="1">
      <w:start w:val="1"/>
      <w:numFmt w:val="chineseCounting"/>
      <w:suff w:val="nothing"/>
      <w:lvlText w:val="%1、"/>
      <w:lvlJc w:val="left"/>
      <w:rPr>
        <w:rFonts w:hint="eastAsia"/>
      </w:rPr>
    </w:lvl>
  </w:abstractNum>
  <w:abstractNum w:abstractNumId="1658720846">
    <w:nsid w:val="62DE124E"/>
    <w:multiLevelType w:val="singleLevel"/>
    <w:tmpl w:val="62DE124E"/>
    <w:lvl w:ilvl="0" w:tentative="1">
      <w:start w:val="4"/>
      <w:numFmt w:val="chineseCounting"/>
      <w:suff w:val="nothing"/>
      <w:lvlText w:val="%1、"/>
      <w:lvlJc w:val="left"/>
    </w:lvl>
  </w:abstractNum>
  <w:num w:numId="1">
    <w:abstractNumId w:val="1669461743"/>
  </w:num>
  <w:num w:numId="2">
    <w:abstractNumId w:val="1658720846"/>
  </w:num>
  <w:num w:numId="3">
    <w:abstractNumId w:val="1658722395"/>
  </w:num>
  <w:num w:numId="4">
    <w:abstractNumId w:val="1658736285"/>
  </w:num>
  <w:num w:numId="5">
    <w:abstractNumId w:val="1659003863"/>
  </w:num>
  <w:num w:numId="6">
    <w:abstractNumId w:val="130176943"/>
  </w:num>
  <w:num w:numId="7">
    <w:abstractNumId w:val="1658921596"/>
  </w:num>
  <w:num w:numId="8">
    <w:abstractNumId w:val="2055956203"/>
  </w:num>
  <w:num w:numId="9">
    <w:abstractNumId w:val="6998149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72E61"/>
    <w:rsid w:val="000008A8"/>
    <w:rsid w:val="000331EB"/>
    <w:rsid w:val="00035D3E"/>
    <w:rsid w:val="00054600"/>
    <w:rsid w:val="00072BB0"/>
    <w:rsid w:val="000859FC"/>
    <w:rsid w:val="00171133"/>
    <w:rsid w:val="00174A97"/>
    <w:rsid w:val="001B63E3"/>
    <w:rsid w:val="002058F7"/>
    <w:rsid w:val="002958F8"/>
    <w:rsid w:val="002C0979"/>
    <w:rsid w:val="002C357F"/>
    <w:rsid w:val="003275E8"/>
    <w:rsid w:val="00370505"/>
    <w:rsid w:val="003A2222"/>
    <w:rsid w:val="003F1426"/>
    <w:rsid w:val="00533574"/>
    <w:rsid w:val="005A4318"/>
    <w:rsid w:val="005C1342"/>
    <w:rsid w:val="006144BC"/>
    <w:rsid w:val="0067231B"/>
    <w:rsid w:val="006E5428"/>
    <w:rsid w:val="00744797"/>
    <w:rsid w:val="00776CFE"/>
    <w:rsid w:val="007935FF"/>
    <w:rsid w:val="007E490B"/>
    <w:rsid w:val="00814073"/>
    <w:rsid w:val="00817069"/>
    <w:rsid w:val="008702EB"/>
    <w:rsid w:val="0087360E"/>
    <w:rsid w:val="008B2575"/>
    <w:rsid w:val="008F55B2"/>
    <w:rsid w:val="00951B8B"/>
    <w:rsid w:val="00960B58"/>
    <w:rsid w:val="0098176A"/>
    <w:rsid w:val="009D1F29"/>
    <w:rsid w:val="009E1171"/>
    <w:rsid w:val="00A55280"/>
    <w:rsid w:val="00B03948"/>
    <w:rsid w:val="00C0140F"/>
    <w:rsid w:val="00C37A46"/>
    <w:rsid w:val="00CE43EC"/>
    <w:rsid w:val="00D254CA"/>
    <w:rsid w:val="00D74551"/>
    <w:rsid w:val="00D97146"/>
    <w:rsid w:val="00EA2499"/>
    <w:rsid w:val="00EA4474"/>
    <w:rsid w:val="00EB3BA8"/>
    <w:rsid w:val="00ED52E1"/>
    <w:rsid w:val="00ED6C67"/>
    <w:rsid w:val="00F2321E"/>
    <w:rsid w:val="00F72E61"/>
    <w:rsid w:val="02510BDC"/>
    <w:rsid w:val="028F5926"/>
    <w:rsid w:val="02934EC9"/>
    <w:rsid w:val="02EC685C"/>
    <w:rsid w:val="030E6A10"/>
    <w:rsid w:val="03844451"/>
    <w:rsid w:val="03C5653F"/>
    <w:rsid w:val="040A59AF"/>
    <w:rsid w:val="0413083D"/>
    <w:rsid w:val="04B7134B"/>
    <w:rsid w:val="051538E2"/>
    <w:rsid w:val="062A122C"/>
    <w:rsid w:val="062E1E31"/>
    <w:rsid w:val="069914E0"/>
    <w:rsid w:val="06ED47ED"/>
    <w:rsid w:val="06F56377"/>
    <w:rsid w:val="08552275"/>
    <w:rsid w:val="087F1701"/>
    <w:rsid w:val="08E43623"/>
    <w:rsid w:val="08EF7436"/>
    <w:rsid w:val="09064E5D"/>
    <w:rsid w:val="0A5B410A"/>
    <w:rsid w:val="0C5E5E59"/>
    <w:rsid w:val="0C9308B1"/>
    <w:rsid w:val="0CAA4C53"/>
    <w:rsid w:val="0DBB0313"/>
    <w:rsid w:val="0E79744D"/>
    <w:rsid w:val="0FAB68C5"/>
    <w:rsid w:val="0FCA5AF5"/>
    <w:rsid w:val="1031679E"/>
    <w:rsid w:val="10655CF3"/>
    <w:rsid w:val="110B3F03"/>
    <w:rsid w:val="1219663F"/>
    <w:rsid w:val="134428A9"/>
    <w:rsid w:val="13527640"/>
    <w:rsid w:val="13E43CBF"/>
    <w:rsid w:val="14116779"/>
    <w:rsid w:val="14162C01"/>
    <w:rsid w:val="14414D4A"/>
    <w:rsid w:val="14F75772"/>
    <w:rsid w:val="159C3D02"/>
    <w:rsid w:val="15F1120D"/>
    <w:rsid w:val="167A36F0"/>
    <w:rsid w:val="169E6DA8"/>
    <w:rsid w:val="16E31A9A"/>
    <w:rsid w:val="17263809"/>
    <w:rsid w:val="187F72BD"/>
    <w:rsid w:val="1998580B"/>
    <w:rsid w:val="1A34568A"/>
    <w:rsid w:val="1BD0092E"/>
    <w:rsid w:val="1C87265B"/>
    <w:rsid w:val="1C9C6D7D"/>
    <w:rsid w:val="1CE529F5"/>
    <w:rsid w:val="1CE7177B"/>
    <w:rsid w:val="1D746DE1"/>
    <w:rsid w:val="1D7F4659"/>
    <w:rsid w:val="1DA52E33"/>
    <w:rsid w:val="1DAD023F"/>
    <w:rsid w:val="1DCB5271"/>
    <w:rsid w:val="1E8B65A8"/>
    <w:rsid w:val="1E8E752D"/>
    <w:rsid w:val="1E913D35"/>
    <w:rsid w:val="1EC01001"/>
    <w:rsid w:val="1EF849DE"/>
    <w:rsid w:val="1F4160D7"/>
    <w:rsid w:val="1F6823BE"/>
    <w:rsid w:val="20074B9B"/>
    <w:rsid w:val="204236FB"/>
    <w:rsid w:val="208650E9"/>
    <w:rsid w:val="20D42C6A"/>
    <w:rsid w:val="20E02300"/>
    <w:rsid w:val="20FB092C"/>
    <w:rsid w:val="214C3BAE"/>
    <w:rsid w:val="21DD349D"/>
    <w:rsid w:val="221029F2"/>
    <w:rsid w:val="22B53180"/>
    <w:rsid w:val="22EF2060"/>
    <w:rsid w:val="238D53E2"/>
    <w:rsid w:val="23CA19C3"/>
    <w:rsid w:val="23E634F2"/>
    <w:rsid w:val="24DB0907"/>
    <w:rsid w:val="25C50504"/>
    <w:rsid w:val="267506A8"/>
    <w:rsid w:val="26D94B49"/>
    <w:rsid w:val="27A5681B"/>
    <w:rsid w:val="28B356D4"/>
    <w:rsid w:val="28D66B8D"/>
    <w:rsid w:val="290D4AE9"/>
    <w:rsid w:val="29101800"/>
    <w:rsid w:val="293A46B3"/>
    <w:rsid w:val="29AE0DEF"/>
    <w:rsid w:val="2A5A113E"/>
    <w:rsid w:val="2AE333EA"/>
    <w:rsid w:val="2B675BC2"/>
    <w:rsid w:val="2C696A69"/>
    <w:rsid w:val="2CD02F96"/>
    <w:rsid w:val="2D105F7D"/>
    <w:rsid w:val="2D3A4BC3"/>
    <w:rsid w:val="2D4F12E5"/>
    <w:rsid w:val="2DBF1599"/>
    <w:rsid w:val="2E203BBC"/>
    <w:rsid w:val="2E732342"/>
    <w:rsid w:val="2E8F63EE"/>
    <w:rsid w:val="2EDF2CF6"/>
    <w:rsid w:val="2EFA5A9E"/>
    <w:rsid w:val="2F355C83"/>
    <w:rsid w:val="2F9B0EAA"/>
    <w:rsid w:val="2FFF0BCF"/>
    <w:rsid w:val="300701D9"/>
    <w:rsid w:val="307E369B"/>
    <w:rsid w:val="31044BF9"/>
    <w:rsid w:val="31327CC7"/>
    <w:rsid w:val="313E0256"/>
    <w:rsid w:val="31D10ACA"/>
    <w:rsid w:val="32932D86"/>
    <w:rsid w:val="32CE54EA"/>
    <w:rsid w:val="33DB43A2"/>
    <w:rsid w:val="340706E9"/>
    <w:rsid w:val="34C907A7"/>
    <w:rsid w:val="34CC172C"/>
    <w:rsid w:val="35684E2E"/>
    <w:rsid w:val="36A31332"/>
    <w:rsid w:val="36C95CEF"/>
    <w:rsid w:val="36E3211C"/>
    <w:rsid w:val="37460B3B"/>
    <w:rsid w:val="379344BE"/>
    <w:rsid w:val="37E62C43"/>
    <w:rsid w:val="380C5081"/>
    <w:rsid w:val="38A15575"/>
    <w:rsid w:val="38E85CE9"/>
    <w:rsid w:val="3996298A"/>
    <w:rsid w:val="39D45E34"/>
    <w:rsid w:val="3A3C7C5E"/>
    <w:rsid w:val="3A717D6E"/>
    <w:rsid w:val="3AA54D45"/>
    <w:rsid w:val="3ABC01EE"/>
    <w:rsid w:val="3B846932"/>
    <w:rsid w:val="3BC91625"/>
    <w:rsid w:val="3C071109"/>
    <w:rsid w:val="3C815550"/>
    <w:rsid w:val="3CD165D4"/>
    <w:rsid w:val="3D891605"/>
    <w:rsid w:val="3D941B95"/>
    <w:rsid w:val="3DA60761"/>
    <w:rsid w:val="3F63308A"/>
    <w:rsid w:val="3FD91DCF"/>
    <w:rsid w:val="40227C45"/>
    <w:rsid w:val="40374367"/>
    <w:rsid w:val="404E1D8E"/>
    <w:rsid w:val="418B5019"/>
    <w:rsid w:val="418F3A1F"/>
    <w:rsid w:val="4241774C"/>
    <w:rsid w:val="427C45A1"/>
    <w:rsid w:val="42916AC5"/>
    <w:rsid w:val="43423065"/>
    <w:rsid w:val="434929F0"/>
    <w:rsid w:val="439D5CFD"/>
    <w:rsid w:val="44197845"/>
    <w:rsid w:val="448004EE"/>
    <w:rsid w:val="44E71197"/>
    <w:rsid w:val="461D1214"/>
    <w:rsid w:val="46302433"/>
    <w:rsid w:val="464B6860"/>
    <w:rsid w:val="465D5881"/>
    <w:rsid w:val="46C0569A"/>
    <w:rsid w:val="46CD5B35"/>
    <w:rsid w:val="47831DE0"/>
    <w:rsid w:val="482C0F74"/>
    <w:rsid w:val="487E0D7E"/>
    <w:rsid w:val="48A60C3E"/>
    <w:rsid w:val="48C4372B"/>
    <w:rsid w:val="494B4C4F"/>
    <w:rsid w:val="498472F7"/>
    <w:rsid w:val="49F22E5E"/>
    <w:rsid w:val="4AD9315C"/>
    <w:rsid w:val="4B6452BE"/>
    <w:rsid w:val="4BAD3134"/>
    <w:rsid w:val="4C54044A"/>
    <w:rsid w:val="4C6912E9"/>
    <w:rsid w:val="4CFA6659"/>
    <w:rsid w:val="4E0B6496"/>
    <w:rsid w:val="4E547B90"/>
    <w:rsid w:val="4E5B751A"/>
    <w:rsid w:val="50B463F5"/>
    <w:rsid w:val="51825B49"/>
    <w:rsid w:val="51EB3EF3"/>
    <w:rsid w:val="52C74B5B"/>
    <w:rsid w:val="52FF0538"/>
    <w:rsid w:val="5316015D"/>
    <w:rsid w:val="537D468A"/>
    <w:rsid w:val="54B96610"/>
    <w:rsid w:val="56B62BD2"/>
    <w:rsid w:val="56E65920"/>
    <w:rsid w:val="5711102B"/>
    <w:rsid w:val="57350F22"/>
    <w:rsid w:val="573F1832"/>
    <w:rsid w:val="580402F6"/>
    <w:rsid w:val="58A423FE"/>
    <w:rsid w:val="58BD1CA3"/>
    <w:rsid w:val="59882670"/>
    <w:rsid w:val="598A5B73"/>
    <w:rsid w:val="59930A01"/>
    <w:rsid w:val="59B4266F"/>
    <w:rsid w:val="5A440825"/>
    <w:rsid w:val="5B1A7584"/>
    <w:rsid w:val="5B2B0B23"/>
    <w:rsid w:val="5B77571F"/>
    <w:rsid w:val="5C3979DB"/>
    <w:rsid w:val="5D9D72A2"/>
    <w:rsid w:val="5DB239C4"/>
    <w:rsid w:val="5DB858CE"/>
    <w:rsid w:val="5F0B0AFE"/>
    <w:rsid w:val="5F88394B"/>
    <w:rsid w:val="5F9B12E6"/>
    <w:rsid w:val="6043407E"/>
    <w:rsid w:val="60672FB9"/>
    <w:rsid w:val="609C218E"/>
    <w:rsid w:val="60B707B9"/>
    <w:rsid w:val="610E11C8"/>
    <w:rsid w:val="61751E71"/>
    <w:rsid w:val="61B31956"/>
    <w:rsid w:val="6219297F"/>
    <w:rsid w:val="624834CE"/>
    <w:rsid w:val="6251055B"/>
    <w:rsid w:val="626207F5"/>
    <w:rsid w:val="62643CF8"/>
    <w:rsid w:val="63095B0B"/>
    <w:rsid w:val="630B2074"/>
    <w:rsid w:val="637E5A4B"/>
    <w:rsid w:val="63A05C7E"/>
    <w:rsid w:val="646F08D5"/>
    <w:rsid w:val="649B36D0"/>
    <w:rsid w:val="64E84D1C"/>
    <w:rsid w:val="64F44B02"/>
    <w:rsid w:val="67090219"/>
    <w:rsid w:val="6839418E"/>
    <w:rsid w:val="68960CA5"/>
    <w:rsid w:val="689C09B0"/>
    <w:rsid w:val="6982029B"/>
    <w:rsid w:val="69DA38BA"/>
    <w:rsid w:val="69E40947"/>
    <w:rsid w:val="6AB5321D"/>
    <w:rsid w:val="6B387F73"/>
    <w:rsid w:val="6B4F341C"/>
    <w:rsid w:val="6B704B4F"/>
    <w:rsid w:val="6B792062"/>
    <w:rsid w:val="6B814EF0"/>
    <w:rsid w:val="6BD46EF8"/>
    <w:rsid w:val="6BF02FA5"/>
    <w:rsid w:val="6C236C77"/>
    <w:rsid w:val="6C3B431E"/>
    <w:rsid w:val="6C666467"/>
    <w:rsid w:val="6CC27A7A"/>
    <w:rsid w:val="6CE412B4"/>
    <w:rsid w:val="6D247B1F"/>
    <w:rsid w:val="6D2D712A"/>
    <w:rsid w:val="6D645085"/>
    <w:rsid w:val="6D717C1E"/>
    <w:rsid w:val="6D8E5EC9"/>
    <w:rsid w:val="6F0A0C39"/>
    <w:rsid w:val="6F13217D"/>
    <w:rsid w:val="6F95081D"/>
    <w:rsid w:val="71395A1B"/>
    <w:rsid w:val="717B0A3E"/>
    <w:rsid w:val="72334969"/>
    <w:rsid w:val="729A0E95"/>
    <w:rsid w:val="736A5CEA"/>
    <w:rsid w:val="74EE0065"/>
    <w:rsid w:val="7512151E"/>
    <w:rsid w:val="76540C31"/>
    <w:rsid w:val="76EB4627"/>
    <w:rsid w:val="77035551"/>
    <w:rsid w:val="770B70DA"/>
    <w:rsid w:val="770C25DD"/>
    <w:rsid w:val="78AA6B87"/>
    <w:rsid w:val="792F6DE0"/>
    <w:rsid w:val="7A733BF4"/>
    <w:rsid w:val="7B47744F"/>
    <w:rsid w:val="7B812AAC"/>
    <w:rsid w:val="7D7E28F2"/>
    <w:rsid w:val="7DB00B43"/>
    <w:rsid w:val="7E9237E7"/>
    <w:rsid w:val="7FCF0B3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4"/>
    <w:qFormat/>
    <w:uiPriority w:val="0"/>
    <w:pPr>
      <w:keepNext/>
      <w:jc w:val="center"/>
      <w:outlineLvl w:val="0"/>
    </w:pPr>
    <w:rPr>
      <w:rFonts w:ascii="Times New Roman" w:hAnsi="Times New Roman" w:cs="Times New Roman"/>
      <w:b/>
      <w:bCs/>
      <w:sz w:val="20"/>
      <w:szCs w:val="20"/>
    </w:rPr>
  </w:style>
  <w:style w:type="paragraph" w:styleId="3">
    <w:name w:val="heading 2"/>
    <w:basedOn w:val="1"/>
    <w:next w:val="1"/>
    <w:link w:val="35"/>
    <w:qFormat/>
    <w:uiPriority w:val="0"/>
    <w:pPr>
      <w:keepNext/>
      <w:keepLines/>
      <w:adjustRightInd w:val="0"/>
      <w:snapToGrid w:val="0"/>
      <w:spacing w:before="260" w:after="260" w:line="500" w:lineRule="atLeast"/>
      <w:jc w:val="center"/>
      <w:outlineLvl w:val="1"/>
    </w:pPr>
    <w:rPr>
      <w:rFonts w:ascii="楷体_GB2312" w:hAnsi="Arial" w:cs="Times New Roman"/>
      <w:b/>
      <w:bCs/>
      <w:sz w:val="36"/>
      <w:szCs w:val="32"/>
    </w:rPr>
  </w:style>
  <w:style w:type="paragraph" w:styleId="4">
    <w:name w:val="heading 3"/>
    <w:basedOn w:val="1"/>
    <w:next w:val="1"/>
    <w:link w:val="36"/>
    <w:qFormat/>
    <w:uiPriority w:val="0"/>
    <w:pPr>
      <w:keepNext/>
      <w:keepLines/>
      <w:spacing w:before="260" w:after="260" w:line="416" w:lineRule="auto"/>
      <w:jc w:val="center"/>
      <w:outlineLvl w:val="2"/>
    </w:pPr>
    <w:rPr>
      <w:rFonts w:ascii="Times New Roman" w:hAnsi="Times New Roman" w:eastAsia="楷体_GB2312" w:cs="Times New Roman"/>
      <w:b/>
      <w:bCs/>
      <w:sz w:val="32"/>
      <w:szCs w:val="32"/>
    </w:rPr>
  </w:style>
  <w:style w:type="paragraph" w:styleId="5">
    <w:name w:val="heading 4"/>
    <w:basedOn w:val="1"/>
    <w:next w:val="1"/>
    <w:link w:val="37"/>
    <w:qFormat/>
    <w:uiPriority w:val="0"/>
    <w:pPr>
      <w:keepNext/>
      <w:adjustRightInd w:val="0"/>
      <w:snapToGrid w:val="0"/>
      <w:spacing w:line="600" w:lineRule="exact"/>
      <w:ind w:firstLine="1928" w:firstLineChars="600"/>
      <w:outlineLvl w:val="3"/>
    </w:pPr>
    <w:rPr>
      <w:rFonts w:cs="Times New Roman"/>
      <w:b/>
      <w:bCs/>
      <w:sz w:val="32"/>
    </w:rPr>
  </w:style>
  <w:style w:type="paragraph" w:styleId="6">
    <w:name w:val="heading 5"/>
    <w:basedOn w:val="1"/>
    <w:next w:val="7"/>
    <w:link w:val="38"/>
    <w:qFormat/>
    <w:uiPriority w:val="0"/>
    <w:pPr>
      <w:tabs>
        <w:tab w:val="left" w:pos="720"/>
      </w:tabs>
      <w:spacing w:before="60" w:after="60" w:line="480" w:lineRule="exact"/>
      <w:ind w:left="720" w:hanging="720"/>
      <w:outlineLvl w:val="4"/>
    </w:pPr>
    <w:rPr>
      <w:rFonts w:ascii="Times New Roman" w:hAnsi="Times New Roman" w:eastAsia="楷体_GB2312" w:cs="Times New Roman"/>
      <w:szCs w:val="20"/>
    </w:rPr>
  </w:style>
  <w:style w:type="character" w:default="1" w:styleId="24">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cs="Times New Roman"/>
      <w:szCs w:val="20"/>
    </w:rPr>
  </w:style>
  <w:style w:type="paragraph" w:styleId="8">
    <w:name w:val="annotation subject"/>
    <w:basedOn w:val="9"/>
    <w:next w:val="9"/>
    <w:link w:val="47"/>
    <w:qFormat/>
    <w:uiPriority w:val="0"/>
    <w:rPr>
      <w:b/>
      <w:bCs/>
    </w:rPr>
  </w:style>
  <w:style w:type="paragraph" w:styleId="9">
    <w:name w:val="annotation text"/>
    <w:basedOn w:val="1"/>
    <w:link w:val="46"/>
    <w:qFormat/>
    <w:uiPriority w:val="0"/>
    <w:rPr>
      <w:sz w:val="36"/>
    </w:rPr>
  </w:style>
  <w:style w:type="paragraph" w:styleId="10">
    <w:name w:val="Document Map"/>
    <w:basedOn w:val="1"/>
    <w:link w:val="52"/>
    <w:qFormat/>
    <w:uiPriority w:val="0"/>
    <w:pPr>
      <w:shd w:val="clear" w:color="auto" w:fill="000080"/>
    </w:pPr>
    <w:rPr>
      <w:rFonts w:ascii="Times New Roman" w:hAnsi="Times New Roman" w:cs="Times New Roman"/>
      <w:sz w:val="36"/>
    </w:rPr>
  </w:style>
  <w:style w:type="paragraph" w:styleId="11">
    <w:name w:val="Body Text 3"/>
    <w:basedOn w:val="1"/>
    <w:link w:val="53"/>
    <w:qFormat/>
    <w:uiPriority w:val="0"/>
    <w:pPr>
      <w:jc w:val="center"/>
    </w:pPr>
    <w:rPr>
      <w:rFonts w:cs="Times New Roman"/>
      <w:szCs w:val="20"/>
    </w:rPr>
  </w:style>
  <w:style w:type="paragraph" w:styleId="12">
    <w:name w:val="Body Text"/>
    <w:basedOn w:val="1"/>
    <w:link w:val="54"/>
    <w:qFormat/>
    <w:uiPriority w:val="0"/>
    <w:pPr>
      <w:spacing w:line="500" w:lineRule="atLeast"/>
    </w:pPr>
    <w:rPr>
      <w:rFonts w:ascii="Times New Roman" w:hAnsi="Times New Roman" w:cs="Times New Roman"/>
      <w:color w:val="0000FF"/>
    </w:rPr>
  </w:style>
  <w:style w:type="paragraph" w:styleId="13">
    <w:name w:val="Body Text Indent"/>
    <w:basedOn w:val="1"/>
    <w:link w:val="55"/>
    <w:qFormat/>
    <w:uiPriority w:val="0"/>
    <w:pPr>
      <w:adjustRightInd w:val="0"/>
      <w:spacing w:line="500" w:lineRule="atLeast"/>
      <w:ind w:firstLine="210"/>
      <w:textAlignment w:val="baseline"/>
    </w:pPr>
    <w:rPr>
      <w:rFonts w:ascii="仿宋_GB2312" w:hAnsi="Times New Roman" w:eastAsia="仿宋_GB2312" w:cs="Times New Roman"/>
      <w:szCs w:val="20"/>
    </w:rPr>
  </w:style>
  <w:style w:type="paragraph" w:styleId="14">
    <w:name w:val="Plain Text"/>
    <w:basedOn w:val="1"/>
    <w:link w:val="44"/>
    <w:qFormat/>
    <w:uiPriority w:val="99"/>
    <w:rPr>
      <w:rFonts w:hAnsi="Courier New"/>
    </w:rPr>
  </w:style>
  <w:style w:type="paragraph" w:styleId="15">
    <w:name w:val="Date"/>
    <w:basedOn w:val="1"/>
    <w:next w:val="1"/>
    <w:link w:val="57"/>
    <w:qFormat/>
    <w:uiPriority w:val="0"/>
    <w:pPr>
      <w:ind w:left="100" w:leftChars="2500"/>
    </w:pPr>
    <w:rPr>
      <w:rFonts w:ascii="Times New Roman" w:hAnsi="Times New Roman" w:cs="Times New Roman"/>
      <w:sz w:val="36"/>
    </w:rPr>
  </w:style>
  <w:style w:type="paragraph" w:styleId="16">
    <w:name w:val="Body Text Indent 2"/>
    <w:basedOn w:val="1"/>
    <w:link w:val="48"/>
    <w:qFormat/>
    <w:uiPriority w:val="0"/>
    <w:pPr>
      <w:spacing w:line="500" w:lineRule="atLeast"/>
      <w:ind w:firstLine="480"/>
    </w:pPr>
    <w:rPr>
      <w:rFonts w:ascii="楷体_GB2312" w:hAnsi="Times New Roman" w:eastAsia="楷体_GB2312" w:cs="Times New Roman"/>
      <w:color w:val="FF0000"/>
    </w:rPr>
  </w:style>
  <w:style w:type="paragraph" w:styleId="17">
    <w:name w:val="Balloon Text"/>
    <w:basedOn w:val="1"/>
    <w:link w:val="58"/>
    <w:qFormat/>
    <w:uiPriority w:val="0"/>
    <w:rPr>
      <w:rFonts w:ascii="Times New Roman" w:hAnsi="Times New Roman" w:cs="Times New Roman"/>
      <w:sz w:val="18"/>
      <w:szCs w:val="18"/>
    </w:rPr>
  </w:style>
  <w:style w:type="paragraph" w:styleId="18">
    <w:name w:val="footer"/>
    <w:basedOn w:val="1"/>
    <w:link w:val="40"/>
    <w:unhideWhenUsed/>
    <w:qFormat/>
    <w:uiPriority w:val="99"/>
    <w:pPr>
      <w:tabs>
        <w:tab w:val="center" w:pos="4153"/>
        <w:tab w:val="right" w:pos="8306"/>
      </w:tabs>
      <w:snapToGrid w:val="0"/>
    </w:pPr>
    <w:rPr>
      <w:sz w:val="18"/>
      <w:szCs w:val="18"/>
    </w:rPr>
  </w:style>
  <w:style w:type="paragraph" w:styleId="19">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right" w:leader="dot" w:pos="8296"/>
      </w:tabs>
    </w:pPr>
    <w:rPr>
      <w:rFonts w:ascii="Times New Roman" w:hAnsi="Times New Roman" w:cs="Times New Roman"/>
      <w:color w:val="000000"/>
      <w:szCs w:val="36"/>
    </w:rPr>
  </w:style>
  <w:style w:type="paragraph" w:styleId="21">
    <w:name w:val="Body Text Indent 3"/>
    <w:basedOn w:val="1"/>
    <w:link w:val="59"/>
    <w:qFormat/>
    <w:uiPriority w:val="0"/>
    <w:pPr>
      <w:spacing w:line="480" w:lineRule="atLeast"/>
      <w:ind w:firstLine="500"/>
    </w:pPr>
    <w:rPr>
      <w:rFonts w:ascii="楷体_GB2312" w:hAnsi="Times New Roman" w:eastAsia="楷体_GB2312" w:cs="Times New Roman"/>
    </w:rPr>
  </w:style>
  <w:style w:type="paragraph" w:styleId="22">
    <w:name w:val="Body Text 2"/>
    <w:basedOn w:val="1"/>
    <w:link w:val="60"/>
    <w:qFormat/>
    <w:uiPriority w:val="0"/>
    <w:pPr>
      <w:tabs>
        <w:tab w:val="left" w:pos="360"/>
        <w:tab w:val="left" w:pos="900"/>
      </w:tabs>
    </w:pPr>
    <w:rPr>
      <w:rFonts w:cs="Times New Roman"/>
      <w:bCs/>
      <w:szCs w:val="20"/>
      <w:u w:val="single"/>
    </w:rPr>
  </w:style>
  <w:style w:type="paragraph" w:styleId="23">
    <w:name w:val="Normal (Web)"/>
    <w:basedOn w:val="1"/>
    <w:qFormat/>
    <w:uiPriority w:val="0"/>
    <w:pPr>
      <w:spacing w:before="100" w:beforeAutospacing="1" w:after="100" w:afterAutospacing="1"/>
    </w:pPr>
    <w:rPr>
      <w:rFonts w:hint="eastAsia" w:cs="Times New Roman"/>
    </w:rPr>
  </w:style>
  <w:style w:type="character" w:styleId="25">
    <w:name w:val="Strong"/>
    <w:qFormat/>
    <w:uiPriority w:val="22"/>
    <w:rPr>
      <w:b/>
      <w:bCs/>
    </w:rPr>
  </w:style>
  <w:style w:type="character" w:styleId="26">
    <w:name w:val="page number"/>
    <w:basedOn w:val="24"/>
    <w:qFormat/>
    <w:uiPriority w:val="0"/>
  </w:style>
  <w:style w:type="character" w:styleId="27">
    <w:name w:val="FollowedHyperlink"/>
    <w:basedOn w:val="24"/>
    <w:unhideWhenUsed/>
    <w:qFormat/>
    <w:uiPriority w:val="99"/>
    <w:rPr>
      <w:color w:val="800080" w:themeColor="followedHyperlink"/>
      <w:u w:val="single"/>
      <w14:textFill>
        <w14:solidFill>
          <w14:schemeClr w14:val="folHlink"/>
        </w14:solidFill>
      </w14:textFill>
    </w:rPr>
  </w:style>
  <w:style w:type="character" w:styleId="28">
    <w:name w:val="Emphasis"/>
    <w:qFormat/>
    <w:uiPriority w:val="0"/>
    <w:rPr>
      <w:i/>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33">
    <w:name w:val="Char Char Char"/>
    <w:basedOn w:val="1"/>
    <w:qFormat/>
    <w:uiPriority w:val="0"/>
    <w:pPr>
      <w:tabs>
        <w:tab w:val="left" w:pos="1440"/>
      </w:tabs>
      <w:ind w:left="1296" w:hanging="1296"/>
    </w:pPr>
    <w:rPr>
      <w:rFonts w:ascii="Arial" w:hAnsi="Arial" w:cs="Arial"/>
      <w:sz w:val="20"/>
      <w:szCs w:val="20"/>
    </w:rPr>
  </w:style>
  <w:style w:type="character" w:customStyle="1" w:styleId="34">
    <w:name w:val="标题 1 字符"/>
    <w:basedOn w:val="24"/>
    <w:link w:val="2"/>
    <w:qFormat/>
    <w:uiPriority w:val="0"/>
    <w:rPr>
      <w:rFonts w:ascii="Times New Roman" w:hAnsi="Times New Roman" w:eastAsia="宋体" w:cs="Times New Roman"/>
      <w:b/>
      <w:bCs/>
      <w:sz w:val="20"/>
      <w:szCs w:val="20"/>
    </w:rPr>
  </w:style>
  <w:style w:type="character" w:customStyle="1" w:styleId="35">
    <w:name w:val="标题 2 字符"/>
    <w:basedOn w:val="24"/>
    <w:link w:val="3"/>
    <w:qFormat/>
    <w:uiPriority w:val="0"/>
    <w:rPr>
      <w:rFonts w:ascii="楷体_GB2312" w:hAnsi="Arial" w:eastAsia="宋体" w:cs="Times New Roman"/>
      <w:b/>
      <w:bCs/>
      <w:sz w:val="36"/>
      <w:szCs w:val="32"/>
    </w:rPr>
  </w:style>
  <w:style w:type="character" w:customStyle="1" w:styleId="36">
    <w:name w:val="标题 3 字符"/>
    <w:basedOn w:val="24"/>
    <w:link w:val="4"/>
    <w:qFormat/>
    <w:uiPriority w:val="0"/>
    <w:rPr>
      <w:rFonts w:ascii="Times New Roman" w:hAnsi="Times New Roman" w:eastAsia="楷体_GB2312" w:cs="Times New Roman"/>
      <w:b/>
      <w:bCs/>
      <w:sz w:val="32"/>
      <w:szCs w:val="32"/>
    </w:rPr>
  </w:style>
  <w:style w:type="character" w:customStyle="1" w:styleId="37">
    <w:name w:val="标题 4 字符"/>
    <w:basedOn w:val="24"/>
    <w:link w:val="5"/>
    <w:qFormat/>
    <w:uiPriority w:val="0"/>
    <w:rPr>
      <w:rFonts w:ascii="宋体" w:hAnsi="宋体" w:eastAsia="宋体" w:cs="Times New Roman"/>
      <w:b/>
      <w:bCs/>
      <w:sz w:val="32"/>
      <w:szCs w:val="24"/>
    </w:rPr>
  </w:style>
  <w:style w:type="character" w:customStyle="1" w:styleId="38">
    <w:name w:val="标题 5 字符"/>
    <w:basedOn w:val="24"/>
    <w:link w:val="6"/>
    <w:qFormat/>
    <w:uiPriority w:val="0"/>
    <w:rPr>
      <w:rFonts w:ascii="Times New Roman" w:hAnsi="Times New Roman" w:eastAsia="楷体_GB2312" w:cs="Times New Roman"/>
      <w:sz w:val="24"/>
      <w:szCs w:val="20"/>
    </w:rPr>
  </w:style>
  <w:style w:type="character" w:customStyle="1" w:styleId="39">
    <w:name w:val="页眉 字符"/>
    <w:basedOn w:val="24"/>
    <w:link w:val="19"/>
    <w:qFormat/>
    <w:uiPriority w:val="0"/>
    <w:rPr>
      <w:sz w:val="18"/>
      <w:szCs w:val="18"/>
    </w:rPr>
  </w:style>
  <w:style w:type="character" w:customStyle="1" w:styleId="40">
    <w:name w:val="页脚 字符"/>
    <w:basedOn w:val="24"/>
    <w:link w:val="18"/>
    <w:qFormat/>
    <w:uiPriority w:val="99"/>
    <w:rPr>
      <w:sz w:val="18"/>
      <w:szCs w:val="18"/>
    </w:rPr>
  </w:style>
  <w:style w:type="character" w:customStyle="1" w:styleId="41">
    <w:name w:val="标题 1 Char Char"/>
    <w:qFormat/>
    <w:uiPriority w:val="0"/>
    <w:rPr>
      <w:rFonts w:eastAsia="宋体"/>
      <w:b/>
      <w:spacing w:val="-2"/>
      <w:sz w:val="24"/>
      <w:lang w:val="en-US" w:eastAsia="zh-CN" w:bidi="ar-SA"/>
    </w:rPr>
  </w:style>
  <w:style w:type="character" w:customStyle="1" w:styleId="42">
    <w:name w:val="3zw1"/>
    <w:qFormat/>
    <w:uiPriority w:val="0"/>
    <w:rPr>
      <w:color w:val="000000"/>
      <w:sz w:val="21"/>
      <w:szCs w:val="21"/>
    </w:rPr>
  </w:style>
  <w:style w:type="character" w:customStyle="1" w:styleId="43">
    <w:name w:val="grame"/>
    <w:basedOn w:val="24"/>
    <w:qFormat/>
    <w:uiPriority w:val="0"/>
  </w:style>
  <w:style w:type="character" w:customStyle="1" w:styleId="44">
    <w:name w:val="纯文本 字符"/>
    <w:link w:val="14"/>
    <w:qFormat/>
    <w:uiPriority w:val="99"/>
    <w:rPr>
      <w:rFonts w:ascii="宋体" w:hAnsi="Courier New" w:eastAsia="宋体"/>
    </w:rPr>
  </w:style>
  <w:style w:type="character" w:customStyle="1" w:styleId="45">
    <w:name w:val="point_normal1"/>
    <w:qFormat/>
    <w:uiPriority w:val="0"/>
    <w:rPr>
      <w:rFonts w:hint="default" w:ascii="Arial" w:hAnsi="Arial" w:cs="Arial"/>
      <w:sz w:val="18"/>
      <w:szCs w:val="18"/>
    </w:rPr>
  </w:style>
  <w:style w:type="character" w:customStyle="1" w:styleId="46">
    <w:name w:val="批注文字 字符"/>
    <w:link w:val="9"/>
    <w:qFormat/>
    <w:uiPriority w:val="0"/>
    <w:rPr>
      <w:sz w:val="36"/>
      <w:szCs w:val="24"/>
    </w:rPr>
  </w:style>
  <w:style w:type="character" w:customStyle="1" w:styleId="47">
    <w:name w:val="批注主题 字符"/>
    <w:link w:val="8"/>
    <w:qFormat/>
    <w:uiPriority w:val="0"/>
    <w:rPr>
      <w:b/>
      <w:bCs/>
      <w:sz w:val="36"/>
      <w:szCs w:val="24"/>
    </w:rPr>
  </w:style>
  <w:style w:type="character" w:customStyle="1" w:styleId="48">
    <w:name w:val="正文文本缩进 2 字符"/>
    <w:basedOn w:val="24"/>
    <w:link w:val="16"/>
    <w:qFormat/>
    <w:uiPriority w:val="0"/>
    <w:rPr>
      <w:rFonts w:ascii="楷体_GB2312" w:hAnsi="Times New Roman" w:eastAsia="楷体_GB2312" w:cs="Times New Roman"/>
      <w:color w:val="FF0000"/>
      <w:sz w:val="24"/>
      <w:szCs w:val="24"/>
    </w:rPr>
  </w:style>
  <w:style w:type="paragraph" w:customStyle="1" w:styleId="49">
    <w:name w:val="表内文字"/>
    <w:basedOn w:val="1"/>
    <w:qFormat/>
    <w:uiPriority w:val="0"/>
    <w:pPr>
      <w:spacing w:line="500" w:lineRule="atLeast"/>
      <w:jc w:val="center"/>
    </w:pPr>
    <w:rPr>
      <w:rFonts w:ascii="楷体_GB2312" w:hAnsi="Times New Roman" w:eastAsia="楷体_GB2312" w:cs="Times New Roman"/>
      <w:sz w:val="28"/>
    </w:rPr>
  </w:style>
  <w:style w:type="character" w:customStyle="1" w:styleId="50">
    <w:name w:val="批注文字 Char1"/>
    <w:basedOn w:val="24"/>
    <w:semiHidden/>
    <w:qFormat/>
    <w:uiPriority w:val="99"/>
  </w:style>
  <w:style w:type="character" w:customStyle="1" w:styleId="51">
    <w:name w:val="批注主题 Char1"/>
    <w:basedOn w:val="50"/>
    <w:semiHidden/>
    <w:qFormat/>
    <w:uiPriority w:val="99"/>
    <w:rPr>
      <w:b/>
      <w:bCs/>
    </w:rPr>
  </w:style>
  <w:style w:type="character" w:customStyle="1" w:styleId="52">
    <w:name w:val="文档结构图 字符"/>
    <w:basedOn w:val="24"/>
    <w:link w:val="10"/>
    <w:qFormat/>
    <w:uiPriority w:val="0"/>
    <w:rPr>
      <w:rFonts w:ascii="Times New Roman" w:hAnsi="Times New Roman" w:eastAsia="宋体" w:cs="Times New Roman"/>
      <w:sz w:val="36"/>
      <w:szCs w:val="24"/>
      <w:shd w:val="clear" w:color="auto" w:fill="000080"/>
    </w:rPr>
  </w:style>
  <w:style w:type="character" w:customStyle="1" w:styleId="53">
    <w:name w:val="正文文本 3 字符"/>
    <w:basedOn w:val="24"/>
    <w:link w:val="11"/>
    <w:qFormat/>
    <w:uiPriority w:val="0"/>
    <w:rPr>
      <w:rFonts w:ascii="宋体" w:hAnsi="宋体" w:eastAsia="宋体" w:cs="Times New Roman"/>
      <w:sz w:val="24"/>
      <w:szCs w:val="20"/>
    </w:rPr>
  </w:style>
  <w:style w:type="character" w:customStyle="1" w:styleId="54">
    <w:name w:val="正文文本 字符"/>
    <w:basedOn w:val="24"/>
    <w:link w:val="12"/>
    <w:qFormat/>
    <w:uiPriority w:val="0"/>
    <w:rPr>
      <w:rFonts w:ascii="Times New Roman" w:hAnsi="Times New Roman" w:eastAsia="宋体" w:cs="Times New Roman"/>
      <w:color w:val="0000FF"/>
      <w:sz w:val="24"/>
      <w:szCs w:val="24"/>
    </w:rPr>
  </w:style>
  <w:style w:type="character" w:customStyle="1" w:styleId="55">
    <w:name w:val="正文文本缩进 字符"/>
    <w:basedOn w:val="24"/>
    <w:link w:val="13"/>
    <w:qFormat/>
    <w:uiPriority w:val="0"/>
    <w:rPr>
      <w:rFonts w:ascii="仿宋_GB2312" w:hAnsi="Times New Roman" w:eastAsia="仿宋_GB2312" w:cs="Times New Roman"/>
      <w:kern w:val="0"/>
      <w:sz w:val="24"/>
      <w:szCs w:val="20"/>
    </w:rPr>
  </w:style>
  <w:style w:type="character" w:customStyle="1" w:styleId="56">
    <w:name w:val="纯文本 Char1"/>
    <w:basedOn w:val="24"/>
    <w:qFormat/>
    <w:uiPriority w:val="0"/>
    <w:rPr>
      <w:rFonts w:ascii="宋体" w:hAnsi="Courier New" w:eastAsia="宋体" w:cs="Courier New"/>
      <w:szCs w:val="21"/>
    </w:rPr>
  </w:style>
  <w:style w:type="character" w:customStyle="1" w:styleId="57">
    <w:name w:val="日期 字符"/>
    <w:basedOn w:val="24"/>
    <w:link w:val="15"/>
    <w:qFormat/>
    <w:uiPriority w:val="0"/>
    <w:rPr>
      <w:rFonts w:ascii="Times New Roman" w:hAnsi="Times New Roman" w:eastAsia="宋体" w:cs="Times New Roman"/>
      <w:sz w:val="36"/>
      <w:szCs w:val="24"/>
    </w:rPr>
  </w:style>
  <w:style w:type="character" w:customStyle="1" w:styleId="58">
    <w:name w:val="批注框文本 字符"/>
    <w:basedOn w:val="24"/>
    <w:link w:val="17"/>
    <w:qFormat/>
    <w:uiPriority w:val="0"/>
    <w:rPr>
      <w:rFonts w:ascii="Times New Roman" w:hAnsi="Times New Roman" w:eastAsia="宋体" w:cs="Times New Roman"/>
      <w:sz w:val="18"/>
      <w:szCs w:val="18"/>
    </w:rPr>
  </w:style>
  <w:style w:type="character" w:customStyle="1" w:styleId="59">
    <w:name w:val="正文文本缩进 3 字符"/>
    <w:basedOn w:val="24"/>
    <w:link w:val="21"/>
    <w:qFormat/>
    <w:uiPriority w:val="0"/>
    <w:rPr>
      <w:rFonts w:ascii="楷体_GB2312" w:hAnsi="Times New Roman" w:eastAsia="楷体_GB2312" w:cs="Times New Roman"/>
      <w:sz w:val="24"/>
      <w:szCs w:val="24"/>
    </w:rPr>
  </w:style>
  <w:style w:type="character" w:customStyle="1" w:styleId="60">
    <w:name w:val="正文文本 2 字符"/>
    <w:basedOn w:val="24"/>
    <w:link w:val="22"/>
    <w:qFormat/>
    <w:uiPriority w:val="0"/>
    <w:rPr>
      <w:rFonts w:ascii="宋体" w:hAnsi="宋体" w:eastAsia="宋体" w:cs="Times New Roman"/>
      <w:bCs/>
      <w:kern w:val="0"/>
      <w:sz w:val="24"/>
      <w:szCs w:val="20"/>
      <w:u w:val="single"/>
    </w:rPr>
  </w:style>
  <w:style w:type="paragraph" w:customStyle="1" w:styleId="61">
    <w:name w:val="Char Char Char Char Char Char Char"/>
    <w:basedOn w:val="1"/>
    <w:qFormat/>
    <w:uiPriority w:val="0"/>
    <w:pPr>
      <w:tabs>
        <w:tab w:val="left" w:pos="432"/>
      </w:tabs>
      <w:ind w:left="432" w:hanging="432"/>
    </w:pPr>
    <w:rPr>
      <w:rFonts w:ascii="Tahoma" w:hAnsi="Tahoma" w:cs="Times New Roman"/>
      <w:szCs w:val="20"/>
    </w:rPr>
  </w:style>
  <w:style w:type="paragraph" w:customStyle="1" w:styleId="62">
    <w:name w:val="Char Char Char Char"/>
    <w:basedOn w:val="1"/>
    <w:qFormat/>
    <w:uiPriority w:val="0"/>
    <w:pPr>
      <w:tabs>
        <w:tab w:val="left" w:pos="432"/>
      </w:tabs>
      <w:spacing w:before="156" w:beforeLines="50" w:after="156" w:afterLines="50"/>
      <w:ind w:left="432" w:hanging="432"/>
    </w:pPr>
    <w:rPr>
      <w:rFonts w:ascii="Times New Roman" w:hAnsi="Times New Roman" w:cs="Times New Roman"/>
    </w:rPr>
  </w:style>
  <w:style w:type="paragraph" w:customStyle="1" w:styleId="63">
    <w:name w:val="xl31"/>
    <w:basedOn w:val="1"/>
    <w:qFormat/>
    <w:uiPriority w:val="0"/>
    <w:pPr>
      <w:spacing w:before="100" w:beforeAutospacing="1" w:after="100" w:afterAutospacing="1"/>
      <w:jc w:val="center"/>
    </w:pPr>
    <w:rPr>
      <w:rFonts w:cs="Times New Roman"/>
      <w:sz w:val="20"/>
      <w:szCs w:val="20"/>
    </w:rPr>
  </w:style>
  <w:style w:type="paragraph" w:customStyle="1" w:styleId="64">
    <w:name w:val="2"/>
    <w:basedOn w:val="1"/>
    <w:next w:val="14"/>
    <w:qFormat/>
    <w:uiPriority w:val="0"/>
    <w:rPr>
      <w:rFonts w:hAnsi="Courier New" w:cs="Times New Roman"/>
      <w:szCs w:val="20"/>
    </w:rPr>
  </w:style>
  <w:style w:type="paragraph" w:customStyle="1" w:styleId="65">
    <w:name w:val="xl23"/>
    <w:basedOn w:val="1"/>
    <w:qFormat/>
    <w:uiPriority w:val="0"/>
    <w:pPr>
      <w:spacing w:before="100" w:beforeAutospacing="1" w:after="100" w:afterAutospacing="1"/>
    </w:pPr>
    <w:rPr>
      <w:rFonts w:ascii="Arial Unicode MS" w:hAnsi="Arial Unicode MS" w:cs="Times New Roman"/>
      <w:szCs w:val="21"/>
    </w:rPr>
  </w:style>
  <w:style w:type="paragraph" w:customStyle="1" w:styleId="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Char"/>
    <w:basedOn w:val="1"/>
    <w:qFormat/>
    <w:uiPriority w:val="0"/>
    <w:rPr>
      <w:rFonts w:ascii="仿宋_GB2312" w:hAnsi="Times New Roman" w:eastAsia="仿宋_GB2312" w:cs="Times New Roman"/>
      <w:b/>
      <w:sz w:val="32"/>
      <w:szCs w:val="32"/>
    </w:rPr>
  </w:style>
  <w:style w:type="paragraph" w:customStyle="1" w:styleId="69">
    <w:name w:val="Proposals body"/>
    <w:basedOn w:val="1"/>
    <w:next w:val="1"/>
    <w:qFormat/>
    <w:uiPriority w:val="0"/>
    <w:pPr>
      <w:spacing w:line="460" w:lineRule="exact"/>
    </w:pPr>
    <w:rPr>
      <w:rFonts w:ascii="仿宋_GB2312" w:hAnsi="Times New Roman" w:eastAsia="仿宋_GB2312" w:cs="Times New Roman"/>
      <w:snapToGrid w:val="0"/>
    </w:rPr>
  </w:style>
  <w:style w:type="paragraph" w:customStyle="1" w:styleId="70">
    <w:name w:val="列出段落1"/>
    <w:basedOn w:val="1"/>
    <w:qFormat/>
    <w:uiPriority w:val="0"/>
    <w:pPr>
      <w:ind w:firstLine="420" w:firstLineChars="200"/>
    </w:pPr>
    <w:rPr>
      <w:rFonts w:ascii="Calibri" w:hAnsi="Calibri" w:cs="Times New Roman"/>
    </w:rPr>
  </w:style>
  <w:style w:type="paragraph" w:customStyle="1" w:styleId="71">
    <w:name w:val="xl42"/>
    <w:basedOn w:val="1"/>
    <w:qFormat/>
    <w:uiPriority w:val="0"/>
    <w:pPr>
      <w:spacing w:before="100" w:beforeAutospacing="1" w:after="100" w:afterAutospacing="1"/>
      <w:jc w:val="center"/>
    </w:pPr>
    <w:rPr>
      <w:rFonts w:ascii="Arial Unicode MS" w:hAnsi="Arial Unicode MS" w:cs="Times New Roman"/>
    </w:rPr>
  </w:style>
  <w:style w:type="paragraph" w:customStyle="1" w:styleId="72">
    <w:name w:val="Char Char3"/>
    <w:basedOn w:val="1"/>
    <w:qFormat/>
    <w:uiPriority w:val="0"/>
    <w:rPr>
      <w:rFonts w:ascii="Tahoma" w:hAnsi="Tahoma" w:cs="Times New Roman"/>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5">
    <w:name w:val="List Paragraph1"/>
    <w:basedOn w:val="1"/>
    <w:qFormat/>
    <w:uiPriority w:val="34"/>
    <w:pPr>
      <w:ind w:firstLine="420" w:firstLineChars="200"/>
    </w:pPr>
  </w:style>
  <w:style w:type="paragraph" w:customStyle="1" w:styleId="76">
    <w:name w:val="纯文本1"/>
    <w:basedOn w:val="1"/>
    <w:qFormat/>
    <w:uiPriority w:val="0"/>
    <w:rPr>
      <w:rFonts w:hAnsi="Courier New"/>
    </w:rPr>
  </w:style>
  <w:style w:type="paragraph" w:customStyle="1" w:styleId="77">
    <w:name w:val="表格文字中"/>
    <w:basedOn w:val="1"/>
    <w:qFormat/>
    <w:uiPriority w:val="0"/>
    <w:pPr>
      <w:adjustRightInd w:val="0"/>
      <w:snapToGrid w:val="0"/>
      <w:jc w:val="center"/>
    </w:pPr>
    <w:rPr>
      <w:rFonts w:eastAsia="仿宋_GB2312"/>
    </w:rPr>
  </w:style>
  <w:style w:type="paragraph" w:customStyle="1" w:styleId="78">
    <w:name w:val="样式1"/>
    <w:basedOn w:val="1"/>
    <w:qFormat/>
    <w:uiPriority w:val="0"/>
    <w:pPr>
      <w:spacing w:before="120" w:after="120" w:line="300" w:lineRule="auto"/>
    </w:pPr>
    <w:rPr>
      <w:b/>
    </w:rPr>
  </w:style>
  <w:style w:type="character" w:customStyle="1" w:styleId="79">
    <w:name w:val="页码1"/>
    <w:basedOn w:val="24"/>
    <w:qFormat/>
    <w:uiPriority w:val="0"/>
  </w:style>
  <w:style w:type="paragraph" w:customStyle="1" w:styleId="80">
    <w:name w:val="z正文"/>
    <w:basedOn w:val="1"/>
    <w:qFormat/>
    <w:uiPriority w:val="0"/>
    <w:pPr>
      <w:spacing w:line="560" w:lineRule="exact"/>
      <w:ind w:firstLine="632" w:firstLineChars="200"/>
    </w:pPr>
    <w:rPr>
      <w:rFonts w:ascii="仿宋_GB2312"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D519A-C0FB-A443-8AA0-2E8BD1FD19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3159</Words>
  <Characters>18008</Characters>
  <Lines>150</Lines>
  <Paragraphs>42</Paragraphs>
  <ScaleCrop>false</ScaleCrop>
  <LinksUpToDate>false</LinksUpToDate>
  <CharactersWithSpaces>21125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2022-07-22T02:44:00Z</dcterms:created>
  <dc:creator>马戌</dc:creator>
  <cp:lastModifiedBy>雷婷</cp:lastModifiedBy>
  <dcterms:modified xsi:type="dcterms:W3CDTF">2022-09-22T07:18:42Z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54FB03349AE2441898839FD515A2D287</vt:lpwstr>
  </property>
</Properties>
</file>